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31" w:rsidRPr="00DF19DA" w:rsidRDefault="00084931" w:rsidP="00084931">
      <w:pPr>
        <w:pStyle w:val="Cmsor1"/>
        <w:spacing w:after="720"/>
        <w:rPr>
          <w:rFonts w:cs="Times New Roman"/>
        </w:rPr>
      </w:pPr>
      <w:bookmarkStart w:id="0" w:name="_Toc485888650"/>
      <w:r w:rsidRPr="00DF19DA">
        <w:rPr>
          <w:rFonts w:cs="Times New Roman"/>
        </w:rPr>
        <w:t>III. MŰSZAKI LEÍRÁS</w:t>
      </w:r>
      <w:bookmarkEnd w:id="0"/>
    </w:p>
    <w:p w:rsidR="00084931" w:rsidRPr="00DF19DA" w:rsidRDefault="00084931" w:rsidP="00084931">
      <w:pPr>
        <w:spacing w:after="24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Jelen közbeszerzési eljárás a műszaki leírás 1. számú mellékletében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tájékoztató jelleggel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megjelölt légkezelő gépek/berendezések rendszeres karbantartásának és eseti hibajavításának a közbeszerzési dokumentációban meghatározott feltételekkel történő elvégzésére vonatkozik.</w:t>
      </w:r>
    </w:p>
    <w:p w:rsidR="00084931" w:rsidRPr="00DF19DA" w:rsidRDefault="00084931" w:rsidP="00084931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  <w:t xml:space="preserve">Ajánlatkérő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hu-HU"/>
        </w:rPr>
        <w:t>karbantartás</w:t>
      </w:r>
      <w:r w:rsidRPr="00DF19DA"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  <w:t xml:space="preserve"> alatt: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a rendeltetésszerű használat fenntartása érdekében rendszeresen végzett, a rendeltetésszerű működést biztosító, tervszerűen végzett megelőző tevékenységet érti, amelynek eredményeképpen biztosítható a folyamatos rendeltetésszerű használat fenntarthatósága.</w:t>
      </w:r>
    </w:p>
    <w:p w:rsidR="00084931" w:rsidRPr="00DF19DA" w:rsidRDefault="00084931" w:rsidP="00084931">
      <w:pPr>
        <w:spacing w:after="24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  <w:t xml:space="preserve">Ajánlatkérő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hu-HU"/>
        </w:rPr>
        <w:t>eseti hibajavítás</w:t>
      </w:r>
      <w:r w:rsidRPr="00DF19DA"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  <w:t xml:space="preserve"> alatt: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a használat során keletkező eseti meghibásodást érti. Eseti javítás magába foglalja a javításhoz szükséges anyagoknak Ajánlattevő általi biztosítását, ennek módja előzetes árajánlat, annak elfogadása esetén megrendelése a műszaki leírás 1. számú mellékletében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tájékoztató jelleggel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szereplő légkezelő gépekre.</w:t>
      </w:r>
    </w:p>
    <w:p w:rsidR="00084931" w:rsidRPr="00DF19DA" w:rsidRDefault="00084931" w:rsidP="00084931">
      <w:pPr>
        <w:jc w:val="both"/>
        <w:rPr>
          <w:rFonts w:ascii="Times New Roman" w:eastAsia="Calibri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A műszaki leírás részét képezi az 1. sz. melléklete, amely </w:t>
      </w:r>
      <w:r w:rsidRPr="00DF19D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tájékoztató jelleggel</w:t>
      </w:r>
      <w:r w:rsidRPr="00DF19DA">
        <w:rPr>
          <w:rFonts w:ascii="Times New Roman" w:eastAsia="Calibri" w:hAnsi="Times New Roman" w:cs="Times New Roman"/>
          <w:sz w:val="26"/>
          <w:szCs w:val="26"/>
          <w:lang w:eastAsia="hu-HU"/>
        </w:rPr>
        <w:t xml:space="preserve"> tartalmazza az eljárás megindításának időpontjában rendelkezésre álló légkezelők típusának meghatározását részenkénti bontásban. 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hu-HU"/>
        </w:rPr>
      </w:pP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</w:pPr>
      <w:r w:rsidRPr="00DF19DA"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hu-HU"/>
        </w:rPr>
        <w:t>Karbantartás</w:t>
      </w:r>
      <w:r w:rsidRPr="00DF19DA"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  <w:t xml:space="preserve"> valamennyi rész esetében: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 karbantartási tevékenységet a műszaki leírás 1. számú mellékletében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 xml:space="preserve">tájékoztató jelleggel 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felsorolt gépek (géplista) tekintetében kell elvégezni.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 karbantartási szerződés géplistája év közben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módosulhat,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ha a gépjegyzékben szereplő gépek közül, egy vagy több gép selejtezésre, vagy kicserélésre kerül. A selejtezéssel érintett gépek tekintetében a karbantartási tevékenység elszámolás mellett megszűnik. A kicseréléssel érintett gépek tekintetében a karbantartási munkálatokat az eredeti gép helyébe lépő gépen a szerződés időtartama alatt el kell elvégezni. Amennyiben az eljárásban megjelölt telephelyekre a géplistában nem szereplő, új gép kerül beszerelésre, a karbantartási tevékenységet az ajánlatban megajánlott áron az új gépre vonatkozóan is el kell végezni a szerződés időtartama alatt.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u w:val="single"/>
          <w:lang w:eastAsia="hu-HU"/>
        </w:rPr>
      </w:pP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 karbantartás gyakorisága: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évente 2 alkalom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.</w:t>
      </w:r>
    </w:p>
    <w:p w:rsidR="00084931" w:rsidRPr="00DF19DA" w:rsidRDefault="00084931" w:rsidP="00084931">
      <w:pPr>
        <w:spacing w:line="240" w:lineRule="auto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Az elvégezendő munkálatok légkezelők karbantartása esetében: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Ventillátorok ellenőrzése, ékszíj feszességének ellenőrzése ill. utánhúzása.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Ventillátor csapágyazás ellenőrzése (zajosság, melegedés és kopás).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Ventillátorok áramfelvételeinek mérése.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lastRenderedPageBreak/>
        <w:t>Termosztátok működési vizsgálata.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Szűrők ellenőrzése és tisztítása.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Cseppvíz elvezetőjének ellenőrzése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Vezérlő és szabályozó automatika elemek ellenőrzése, beállítása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Berendezések hőcserélőinek ellenőrzése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0" w:line="240" w:lineRule="auto"/>
        <w:ind w:right="281"/>
        <w:contextualSpacing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Elzáró és szabályozó szerkezetek mechanikai ellenőrzése</w:t>
      </w:r>
    </w:p>
    <w:p w:rsidR="00084931" w:rsidRPr="00DF19DA" w:rsidRDefault="00084931" w:rsidP="00084931">
      <w:pPr>
        <w:numPr>
          <w:ilvl w:val="0"/>
          <w:numId w:val="3"/>
        </w:numPr>
        <w:autoSpaceDN w:val="0"/>
        <w:spacing w:after="240" w:line="240" w:lineRule="auto"/>
        <w:ind w:left="1281" w:right="284" w:hanging="357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Törekedni kell a készülékek biztonságos és tartós működésére</w:t>
      </w:r>
    </w:p>
    <w:p w:rsidR="00084931" w:rsidRPr="00DF19DA" w:rsidRDefault="00084931" w:rsidP="00084931">
      <w:pPr>
        <w:spacing w:after="120" w:line="240" w:lineRule="auto"/>
        <w:ind w:right="284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A munkálatokat a hatályos jogszabályok és műszaki előírások szerint kell elvégezni.</w:t>
      </w:r>
    </w:p>
    <w:p w:rsidR="00084931" w:rsidRPr="00DF19DA" w:rsidRDefault="00084931" w:rsidP="00084931">
      <w:pPr>
        <w:ind w:right="28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84931" w:rsidRPr="00DF19DA" w:rsidRDefault="00084931" w:rsidP="00084931">
      <w:pPr>
        <w:ind w:right="28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DF19DA">
        <w:rPr>
          <w:rFonts w:ascii="Times New Roman" w:eastAsia="Calibri" w:hAnsi="Times New Roman" w:cs="Times New Roman"/>
          <w:b/>
          <w:sz w:val="26"/>
          <w:szCs w:val="26"/>
          <w:u w:val="single"/>
        </w:rPr>
        <w:t>Eseti hibajavítás</w:t>
      </w:r>
      <w:r w:rsidRPr="00DF1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valamennyi rész tekintetében: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Az eseti hibajavítás körébe nem tartozik a karbantartás során a rendeltetésszerű működés érdekében végzett tevékenység, valamint a garanciális gépek javítása.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Az eseti hibajavítási tevékenységet a műszaki leírás 1. számú mellékletében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tájékoztató jelleggel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 felsorolt gépek (géplista) tekintetében kell elvégezni.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Az eseti hibajavítási szerződés géplistája év közben </w:t>
      </w:r>
      <w:r w:rsidRPr="00DF19DA">
        <w:rPr>
          <w:rFonts w:ascii="Times New Roman" w:eastAsia="Arial Unicode MS" w:hAnsi="Times New Roman" w:cs="Times New Roman"/>
          <w:b/>
          <w:sz w:val="26"/>
          <w:szCs w:val="26"/>
          <w:lang w:eastAsia="hu-HU"/>
        </w:rPr>
        <w:t>módosulhat</w:t>
      </w: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, ha a gépjegyzékben szereplő gépek közül, egy vagy több gép selejtezésre vagy kicserélésre kerül. A selejtezéssel érintett gépek tekintetében a hibajavítási tevékenység elszámolás mellett megszűnik. A kicseréléssel érintett gépek tekintetében a hibajavítási munkálatokat az eredeti gép helyébe lépő gépen a szerződés időtartama alatt el kell elvégezni. Amennyiben az eljárásban megjelölt telephelyekre a géplistában nem szereplő, új gép kerül beszerelésre, az eseti hibajavítási tevékenységet az ajánlatban megajánlott áron az új gépre vonatkozóan is el kell végezni a szerződés időtartama alatt.</w:t>
      </w: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</w:p>
    <w:p w:rsidR="00084931" w:rsidRPr="00DF19DA" w:rsidRDefault="00084931" w:rsidP="0008493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 xml:space="preserve">Ajánlatkérő az eseti hibajavítások során felhasznált alkatrészekre plusz díj felszámítása nélkül 6 havi jótállás vállalását írja elő. </w:t>
      </w:r>
    </w:p>
    <w:p w:rsidR="00084931" w:rsidRPr="00DF19DA" w:rsidRDefault="00084931" w:rsidP="00084931">
      <w:pPr>
        <w:spacing w:line="240" w:lineRule="auto"/>
        <w:jc w:val="both"/>
        <w:rPr>
          <w:rFonts w:ascii="Times New Roman" w:eastAsia="Arial Unicode MS" w:hAnsi="Times New Roman" w:cs="Times New Roman"/>
          <w:sz w:val="26"/>
          <w:szCs w:val="26"/>
          <w:lang w:eastAsia="hu-HU"/>
        </w:rPr>
      </w:pPr>
      <w:r w:rsidRPr="00DF19DA">
        <w:rPr>
          <w:rFonts w:ascii="Times New Roman" w:eastAsia="Arial Unicode MS" w:hAnsi="Times New Roman" w:cs="Times New Roman"/>
          <w:sz w:val="26"/>
          <w:szCs w:val="26"/>
          <w:lang w:eastAsia="hu-HU"/>
        </w:rPr>
        <w:t>Ajánlattevő köteles a hiba feltárását a dokumentált bejelentéstől (e-mail vagy fax) számítottan az értékelési részszempontban vállalt órán belül megkezdi. Az Ajánlattevő a hiba kijavítást kizárólag az ajánlatkérő által elfogadott árajánlat elfogadását követően kezdheti meg, melynek részletes feltételeit a szerződéstervezet tartalmazza.</w:t>
      </w:r>
    </w:p>
    <w:p w:rsidR="00084931" w:rsidRPr="00DF19DA" w:rsidRDefault="00084931" w:rsidP="00084931">
      <w:pPr>
        <w:rPr>
          <w:rFonts w:ascii="Times New Roman" w:hAnsi="Times New Roman" w:cs="Times New Roman"/>
        </w:rPr>
      </w:pPr>
    </w:p>
    <w:p w:rsidR="00084931" w:rsidRPr="00DF19DA" w:rsidRDefault="00084931" w:rsidP="00084931">
      <w:pPr>
        <w:pStyle w:val="Tiret0"/>
        <w:numPr>
          <w:ilvl w:val="0"/>
          <w:numId w:val="1"/>
        </w:numPr>
        <w:spacing w:before="0" w:after="0"/>
        <w:rPr>
          <w:b/>
          <w:sz w:val="28"/>
          <w:szCs w:val="28"/>
        </w:rPr>
        <w:sectPr w:rsidR="00084931" w:rsidRPr="00DF19DA" w:rsidSect="00B963B8">
          <w:footerReference w:type="default" r:id="rId5"/>
          <w:footerReference w:type="first" r:id="rId6"/>
          <w:pgSz w:w="11906" w:h="16838" w:code="9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084931" w:rsidRPr="00DF19DA" w:rsidRDefault="00084931" w:rsidP="00084931">
      <w:pPr>
        <w:pStyle w:val="Tiret0"/>
        <w:spacing w:before="0" w:after="240"/>
        <w:jc w:val="right"/>
        <w:rPr>
          <w:sz w:val="22"/>
        </w:rPr>
      </w:pPr>
      <w:r w:rsidRPr="00DF19DA">
        <w:rPr>
          <w:b/>
          <w:sz w:val="26"/>
          <w:szCs w:val="26"/>
          <w:lang w:eastAsia="en-US"/>
        </w:rPr>
        <w:lastRenderedPageBreak/>
        <w:t>Műszak</w:t>
      </w:r>
      <w:bookmarkStart w:id="1" w:name="_GoBack"/>
      <w:bookmarkEnd w:id="1"/>
      <w:r w:rsidRPr="00DF19DA">
        <w:rPr>
          <w:b/>
          <w:sz w:val="26"/>
          <w:szCs w:val="26"/>
          <w:lang w:eastAsia="en-US"/>
        </w:rPr>
        <w:t>i Leírás 1. sz. melléklet</w:t>
      </w:r>
    </w:p>
    <w:p w:rsidR="00084931" w:rsidRPr="00DF19DA" w:rsidRDefault="00084931" w:rsidP="00084931">
      <w:pPr>
        <w:pStyle w:val="Tiret0"/>
        <w:spacing w:before="0" w:after="240"/>
        <w:jc w:val="center"/>
        <w:rPr>
          <w:sz w:val="22"/>
        </w:rPr>
      </w:pPr>
    </w:p>
    <w:p w:rsidR="00084931" w:rsidRPr="00DF19DA" w:rsidRDefault="00084931" w:rsidP="00084931">
      <w:pPr>
        <w:pStyle w:val="Tiret0"/>
        <w:spacing w:before="0" w:after="240"/>
        <w:jc w:val="right"/>
        <w:rPr>
          <w:sz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551"/>
        <w:gridCol w:w="3110"/>
        <w:gridCol w:w="1569"/>
        <w:gridCol w:w="2291"/>
        <w:gridCol w:w="1751"/>
        <w:gridCol w:w="1728"/>
      </w:tblGrid>
      <w:tr w:rsidR="00084931" w:rsidRPr="00DF19DA" w:rsidTr="009933EC">
        <w:trPr>
          <w:trHeight w:val="915"/>
        </w:trPr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Rész száma</w:t>
            </w:r>
          </w:p>
        </w:tc>
        <w:tc>
          <w:tcPr>
            <w:tcW w:w="9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Telephely </w:t>
            </w:r>
          </w:p>
        </w:tc>
        <w:tc>
          <w:tcPr>
            <w:tcW w:w="111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Cím</w:t>
            </w:r>
          </w:p>
        </w:tc>
        <w:tc>
          <w:tcPr>
            <w:tcW w:w="56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Légkezelő db</w:t>
            </w:r>
          </w:p>
        </w:tc>
        <w:tc>
          <w:tcPr>
            <w:tcW w:w="81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Típus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Hővisszanyerés módja      (forgódobos, hőcserélős, recirkulációs, vagy nincs)</w:t>
            </w:r>
          </w:p>
        </w:tc>
        <w:tc>
          <w:tcPr>
            <w:tcW w:w="6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Légszállítás (m3/h)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PTE Gyermekklinika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József A. u. 7.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AT Pico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nincs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2000/2000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József A. u. 7.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VTS VS-21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2800/2500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József A. u. 7.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AT Pico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1500/1500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József A. u. 7.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Ciat  elsz.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Nincs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6000/3000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József A. u. 7.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 xml:space="preserve">HUBER+RANNER Daldrop 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5000/4000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PTE Klinikai Központ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Rákóczi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60000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Rákóczi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25000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Rákóczi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ATp20101vvv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17120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Rákóczi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LENNOX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120000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Ideggyógyászat Klinika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Rét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VTS VS-40-R-GCH/F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40000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Rét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VTS VS-30-R-G SE elsz és bef.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30000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Rehabilitációs Klinika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Rét u. 2.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VTS VS-120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Fogászati Klinika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Dischka Gy. u.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ATC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2300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14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(Ft/év))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7 980 000 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 w:val="restart"/>
            <w:tcBorders>
              <w:top w:val="thinThickSmallGap" w:sz="2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2</w:t>
            </w:r>
          </w:p>
        </w:tc>
        <w:tc>
          <w:tcPr>
            <w:tcW w:w="912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PTE Janus Pannonius Klinikai Tömb</w:t>
            </w: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128.096IVVV</w:t>
            </w:r>
          </w:p>
        </w:tc>
        <w:tc>
          <w:tcPr>
            <w:tcW w:w="62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12000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096.052HVVV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064.052HVVV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2700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12000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AT Plus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recirkulációs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9800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4700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AT Picco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2200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9100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128.096HVVV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128.096IVVV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10700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10700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10700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9110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12500</w:t>
            </w:r>
          </w:p>
        </w:tc>
      </w:tr>
      <w:tr w:rsidR="00084931" w:rsidRPr="00DF19DA" w:rsidTr="009933EC">
        <w:trPr>
          <w:trHeight w:val="315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10000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096.128HVVV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8000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096.128IVVV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160.128IVVV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19000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14000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160.096VVVA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15000/15000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160.096VVVA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15000/15000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096.064VVVA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2500/5000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GEA CairPlus SX 096.096IVVV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4000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PTE Szívgyógyászati Centrum</w:t>
            </w: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lastRenderedPageBreak/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MK-1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9000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MK-2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9000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H-K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7300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Po-K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5600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Co-K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5600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ÁSZ-1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14500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ÁSZ-2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14500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13.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Wolf 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lemezes hőcserélős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35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</w:t>
            </w:r>
          </w:p>
        </w:tc>
        <w:tc>
          <w:tcPr>
            <w:tcW w:w="3736" w:type="pct"/>
            <w:gridSpan w:val="5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19 950 000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 w:val="restart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3</w:t>
            </w:r>
          </w:p>
        </w:tc>
        <w:tc>
          <w:tcPr>
            <w:tcW w:w="912" w:type="pct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Szentágothai Kutatóközpont</w:t>
            </w: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thinThickSmallGap" w:sz="2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LK Konferencia V1/M BEF</w:t>
            </w:r>
          </w:p>
        </w:tc>
        <w:tc>
          <w:tcPr>
            <w:tcW w:w="62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17290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LK Konferencia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14900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12 A-LK-2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9250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12 A-LK-2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6940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08 A-LK-1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5820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08 A-LK-1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5010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B-LK-1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15180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B-LK-1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14765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B-LK-2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16425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B-LK-2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13865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C-LK-1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17030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20 C-LK-1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17080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16 C-LK-2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15960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16 C-LK-2 V1/M ELSZ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12780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06 C-LK-3 Labor V1/M BEF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3080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Pécs, Ifjúság útja 20.</w:t>
            </w:r>
          </w:p>
        </w:tc>
        <w:tc>
          <w:tcPr>
            <w:tcW w:w="561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nil"/>
              <w:left w:val="nil"/>
              <w:bottom w:val="thinThickSmallGap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CLH Ecoline 06 C-LK-3 Labor V1/M ELSZ</w:t>
            </w:r>
          </w:p>
        </w:tc>
        <w:tc>
          <w:tcPr>
            <w:tcW w:w="626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forgódobos</w:t>
            </w:r>
          </w:p>
        </w:tc>
        <w:tc>
          <w:tcPr>
            <w:tcW w:w="618" w:type="pct"/>
            <w:tcBorders>
              <w:top w:val="nil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hAnsi="Times New Roman" w:cs="Times New Roman"/>
                <w:color w:val="000000"/>
              </w:rPr>
              <w:t>3760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16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</w:t>
            </w:r>
          </w:p>
        </w:tc>
        <w:tc>
          <w:tcPr>
            <w:tcW w:w="3736" w:type="pct"/>
            <w:gridSpan w:val="5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9 120 000 HUF/ÉV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 w:val="restart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4</w:t>
            </w: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Kaposvár Képzési Központ és Kollégium</w:t>
            </w:r>
          </w:p>
        </w:tc>
        <w:tc>
          <w:tcPr>
            <w:tcW w:w="1112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Kaposvár, Szent Imre u. 14/B.</w:t>
            </w:r>
          </w:p>
        </w:tc>
        <w:tc>
          <w:tcPr>
            <w:tcW w:w="561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5</w:t>
            </w:r>
          </w:p>
        </w:tc>
        <w:tc>
          <w:tcPr>
            <w:tcW w:w="819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Fűtőber</w:t>
            </w:r>
          </w:p>
        </w:tc>
        <w:tc>
          <w:tcPr>
            <w:tcW w:w="626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keresztáramú</w:t>
            </w:r>
          </w:p>
        </w:tc>
        <w:tc>
          <w:tcPr>
            <w:tcW w:w="618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3600/2400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5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</w:t>
            </w:r>
          </w:p>
        </w:tc>
        <w:tc>
          <w:tcPr>
            <w:tcW w:w="3736" w:type="pct"/>
            <w:gridSpan w:val="5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2 850 000 HUF/ÉV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 w:val="restart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5</w:t>
            </w:r>
          </w:p>
        </w:tc>
        <w:tc>
          <w:tcPr>
            <w:tcW w:w="912" w:type="pct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Szekszárd Oktatási épület</w:t>
            </w:r>
          </w:p>
        </w:tc>
        <w:tc>
          <w:tcPr>
            <w:tcW w:w="1112" w:type="pct"/>
            <w:vMerge w:val="restart"/>
            <w:tcBorders>
              <w:top w:val="thinThickSmallGap" w:sz="2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Szekszárd, Rákóczi u. 1.</w:t>
            </w:r>
          </w:p>
        </w:tc>
        <w:tc>
          <w:tcPr>
            <w:tcW w:w="561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VENTUS VS 21</w:t>
            </w:r>
          </w:p>
        </w:tc>
        <w:tc>
          <w:tcPr>
            <w:tcW w:w="626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keresztáramú</w:t>
            </w:r>
          </w:p>
        </w:tc>
        <w:tc>
          <w:tcPr>
            <w:tcW w:w="618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1100 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1112" w:type="pct"/>
            <w:vMerge/>
            <w:tcBorders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931" w:rsidRPr="00DF19DA" w:rsidRDefault="00084931" w:rsidP="009933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VENTUS VS 21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keresztáramú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1100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2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(Ft/év)</w:t>
            </w:r>
          </w:p>
        </w:tc>
        <w:tc>
          <w:tcPr>
            <w:tcW w:w="3736" w:type="pct"/>
            <w:gridSpan w:val="5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1 140 000 HUF/ÉV</w:t>
            </w:r>
          </w:p>
        </w:tc>
      </w:tr>
      <w:tr w:rsidR="00084931" w:rsidRPr="00DF19DA" w:rsidTr="009933EC">
        <w:trPr>
          <w:trHeight w:val="600"/>
        </w:trPr>
        <w:tc>
          <w:tcPr>
            <w:tcW w:w="352" w:type="pct"/>
            <w:vMerge w:val="restart"/>
            <w:tcBorders>
              <w:top w:val="thinThickSmallGap" w:sz="2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  </w:t>
            </w:r>
          </w:p>
        </w:tc>
        <w:tc>
          <w:tcPr>
            <w:tcW w:w="912" w:type="pct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Mindösszesen (db)</w:t>
            </w:r>
          </w:p>
        </w:tc>
        <w:tc>
          <w:tcPr>
            <w:tcW w:w="3736" w:type="pct"/>
            <w:gridSpan w:val="5"/>
            <w:tcBorders>
              <w:top w:val="thinThickSmallGap" w:sz="2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 xml:space="preserve">72 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mindösszesen (Ft/év)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41 040 000</w:t>
            </w:r>
          </w:p>
        </w:tc>
      </w:tr>
      <w:tr w:rsidR="00084931" w:rsidRPr="00DF19DA" w:rsidTr="009933EC">
        <w:trPr>
          <w:trHeight w:val="300"/>
        </w:trPr>
        <w:tc>
          <w:tcPr>
            <w:tcW w:w="3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Becsült költség 3 évre (Ft)</w:t>
            </w:r>
          </w:p>
        </w:tc>
        <w:tc>
          <w:tcPr>
            <w:tcW w:w="3736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84931" w:rsidRPr="00DF19DA" w:rsidRDefault="00084931" w:rsidP="00993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</w:pPr>
            <w:r w:rsidRPr="00DF1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hu-HU"/>
              </w:rPr>
              <w:t> </w:t>
            </w:r>
            <w:r w:rsidRPr="00DF1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hu-HU"/>
              </w:rPr>
              <w:t>123 120 000</w:t>
            </w:r>
          </w:p>
        </w:tc>
      </w:tr>
    </w:tbl>
    <w:p w:rsidR="00084931" w:rsidRPr="00DF19DA" w:rsidRDefault="00084931" w:rsidP="00084931">
      <w:pPr>
        <w:pStyle w:val="Tiret0"/>
        <w:spacing w:before="0" w:after="240"/>
        <w:jc w:val="left"/>
        <w:rPr>
          <w:sz w:val="22"/>
        </w:rPr>
      </w:pPr>
    </w:p>
    <w:p w:rsidR="00084931" w:rsidRPr="00DF19DA" w:rsidRDefault="00084931" w:rsidP="00084931">
      <w:pPr>
        <w:pStyle w:val="Tiret0"/>
        <w:spacing w:before="0" w:after="240"/>
        <w:jc w:val="right"/>
        <w:rPr>
          <w:sz w:val="22"/>
        </w:rPr>
      </w:pPr>
    </w:p>
    <w:p w:rsidR="00084931" w:rsidRPr="00DF19DA" w:rsidRDefault="00084931" w:rsidP="00084931">
      <w:pPr>
        <w:rPr>
          <w:rFonts w:ascii="Times New Roman" w:hAnsi="Times New Roman" w:cs="Times New Roman"/>
        </w:rPr>
      </w:pPr>
    </w:p>
    <w:p w:rsidR="00702EC5" w:rsidRDefault="00084931"/>
    <w:sectPr w:rsidR="00702EC5" w:rsidSect="000849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8122747"/>
      <w:docPartObj>
        <w:docPartGallery w:val="Page Numbers (Bottom of Page)"/>
        <w:docPartUnique/>
      </w:docPartObj>
    </w:sdtPr>
    <w:sdtEndPr/>
    <w:sdtContent>
      <w:p w:rsidR="005E4694" w:rsidRDefault="00084931" w:rsidP="00DD62D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694" w:rsidRDefault="00084931">
    <w:pPr>
      <w:pStyle w:val="llb"/>
      <w:jc w:val="center"/>
    </w:pPr>
    <w:r>
      <w:t>40</w:t>
    </w:r>
  </w:p>
  <w:p w:rsidR="005E4694" w:rsidRDefault="00084931" w:rsidP="00A75B36">
    <w:pPr>
      <w:pStyle w:val="llb"/>
    </w:pPr>
  </w:p>
  <w:p w:rsidR="005E4694" w:rsidRDefault="00084931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CE8"/>
    <w:multiLevelType w:val="hybridMultilevel"/>
    <w:tmpl w:val="503C7AB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C3DED"/>
    <w:multiLevelType w:val="multilevel"/>
    <w:tmpl w:val="D3C4A166"/>
    <w:styleLink w:val="WWNum14"/>
    <w:lvl w:ilvl="0">
      <w:numFmt w:val="bullet"/>
      <w:lvlText w:val="–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  <w:lvlOverride w:ilvl="0">
      <w:lvl w:ilvl="0">
        <w:numFmt w:val="bullet"/>
        <w:lvlText w:val="–"/>
        <w:lvlJc w:val="left"/>
      </w:lvl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31"/>
    <w:rsid w:val="00084931"/>
    <w:rsid w:val="00145401"/>
    <w:rsid w:val="00D5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0C119-A321-4AE5-B604-75715BD6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4931"/>
  </w:style>
  <w:style w:type="paragraph" w:styleId="Cmsor1">
    <w:name w:val="heading 1"/>
    <w:aliases w:val="(Chapter),app heading 1,h1,1. számozott szint"/>
    <w:basedOn w:val="Norml"/>
    <w:next w:val="Norml"/>
    <w:link w:val="Cmsor1Char"/>
    <w:uiPriority w:val="9"/>
    <w:qFormat/>
    <w:rsid w:val="00084931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Chapter) Char,app heading 1 Char,h1 Char,1. számozott szint Char"/>
    <w:basedOn w:val="Bekezdsalapbettpusa"/>
    <w:link w:val="Cmsor1"/>
    <w:uiPriority w:val="9"/>
    <w:rsid w:val="00084931"/>
    <w:rPr>
      <w:rFonts w:ascii="Times New Roman" w:eastAsiaTheme="majorEastAsia" w:hAnsi="Times New Roman" w:cstheme="majorBidi"/>
      <w:b/>
      <w:sz w:val="28"/>
      <w:szCs w:val="32"/>
    </w:rPr>
  </w:style>
  <w:style w:type="paragraph" w:styleId="llb">
    <w:name w:val="footer"/>
    <w:aliases w:val="NCS footer,Footer1"/>
    <w:basedOn w:val="Norml"/>
    <w:link w:val="llbChar"/>
    <w:uiPriority w:val="99"/>
    <w:unhideWhenUsed/>
    <w:rsid w:val="00084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,Footer1 Char"/>
    <w:basedOn w:val="Bekezdsalapbettpusa"/>
    <w:link w:val="llb"/>
    <w:uiPriority w:val="99"/>
    <w:rsid w:val="00084931"/>
  </w:style>
  <w:style w:type="paragraph" w:customStyle="1" w:styleId="Tiret0">
    <w:name w:val="Tiret 0"/>
    <w:basedOn w:val="Norml"/>
    <w:rsid w:val="00084931"/>
    <w:pPr>
      <w:suppressAutoHyphens/>
      <w:autoSpaceDN w:val="0"/>
      <w:spacing w:before="120" w:after="120" w:line="240" w:lineRule="auto"/>
      <w:jc w:val="both"/>
      <w:textAlignment w:val="baseline"/>
    </w:pPr>
    <w:rPr>
      <w:rFonts w:ascii="Times New Roman" w:eastAsia="Calibri" w:hAnsi="Times New Roman" w:cs="Times New Roman"/>
      <w:kern w:val="3"/>
      <w:sz w:val="24"/>
      <w:lang w:eastAsia="en-GB"/>
    </w:rPr>
  </w:style>
  <w:style w:type="numbering" w:customStyle="1" w:styleId="WWNum14">
    <w:name w:val="WWNum14"/>
    <w:basedOn w:val="Nemlista"/>
    <w:rsid w:val="0008493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1250</Words>
  <Characters>8627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Weiszenburger Vivien</dc:creator>
  <cp:keywords/>
  <dc:description/>
  <cp:lastModifiedBy>Weiszenburger Vivien</cp:lastModifiedBy>
  <cp:revision>1</cp:revision>
  <dcterms:created xsi:type="dcterms:W3CDTF">2018-01-05T14:02:00Z</dcterms:created>
  <dcterms:modified xsi:type="dcterms:W3CDTF">2018-01-05T14:03:00Z</dcterms:modified>
</cp:coreProperties>
</file>