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D" w:rsidRPr="00116248" w:rsidRDefault="00E1035D" w:rsidP="00E1035D">
      <w:pPr>
        <w:pStyle w:val="Cmsor1"/>
        <w:spacing w:after="720"/>
        <w:rPr>
          <w:rFonts w:cs="Times New Roman"/>
        </w:rPr>
      </w:pPr>
      <w:bookmarkStart w:id="0" w:name="_Toc485888650"/>
      <w:r w:rsidRPr="00116248">
        <w:rPr>
          <w:rFonts w:cs="Times New Roman"/>
        </w:rPr>
        <w:t>III. MŰSZAKI LEÍRÁS</w:t>
      </w:r>
      <w:bookmarkEnd w:id="0"/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Jelen közbeszerzési eljárás a műszaki leírás 1. számú mellékletében </w:t>
      </w:r>
      <w:r w:rsidRPr="00116248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tájékoztató jelleggel</w:t>
      </w: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megjelölt direkthűtők és folyadékhűtők gépek/berendezések rendszeres karbantartásának és eseti hibajavításának a közbeszerzési dokumentációban meghatározott feltételekkel történő elvégzésére vonatkozik.</w:t>
      </w:r>
    </w:p>
    <w:p w:rsidR="00E1035D" w:rsidRPr="00116248" w:rsidRDefault="00E1035D" w:rsidP="00E103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  <w:t xml:space="preserve">Ajánlatkérő </w:t>
      </w:r>
      <w:r w:rsidRPr="00116248">
        <w:rPr>
          <w:rFonts w:ascii="Times New Roman" w:eastAsia="Calibri" w:hAnsi="Times New Roman" w:cs="Times New Roman"/>
          <w:b/>
          <w:sz w:val="26"/>
          <w:szCs w:val="26"/>
          <w:u w:val="single"/>
          <w:lang w:eastAsia="hu-HU"/>
        </w:rPr>
        <w:t>karbantartás</w:t>
      </w:r>
      <w:r w:rsidRPr="00116248"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  <w:t xml:space="preserve"> alatt</w:t>
      </w: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: a rendeltetésszerű használat fenntartása érdekében rendszeresen végzett, a rendeltetésszerű működést biztosító, tervszerűen végzett megelőző tevékenységet érti, amelynek eredményeképpen biztosítható a folyamatos rendeltetésszerű használat fenntarthatósága.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  <w:t xml:space="preserve">Ajánlatkérő </w:t>
      </w:r>
      <w:r w:rsidRPr="00116248">
        <w:rPr>
          <w:rFonts w:ascii="Times New Roman" w:eastAsia="Calibri" w:hAnsi="Times New Roman" w:cs="Times New Roman"/>
          <w:b/>
          <w:sz w:val="26"/>
          <w:szCs w:val="26"/>
          <w:u w:val="single"/>
          <w:lang w:eastAsia="hu-HU"/>
        </w:rPr>
        <w:t>eseti hibajavítás</w:t>
      </w:r>
      <w:r w:rsidRPr="00116248"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  <w:t xml:space="preserve"> alatt:</w:t>
      </w: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Ajánlatkérő a használat során keletkező eseti meghibásodást érti. Eseti javítás magába foglalja a javításhoz szükséges anyagoknak Ajánlattevő általi biztosítását, ennek módja előzetes árajánlat, annak elfogadása esetén megrendelése a műszaki leírás 1. számú mellékletében </w:t>
      </w:r>
      <w:r w:rsidRPr="00116248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tájékoztató jelleggel</w:t>
      </w: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szereplő direkthűtő és folyadékhűtő gépekre.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A műszaki leírás részét képezi az 1. sz. melléklete, amely </w:t>
      </w:r>
      <w:r w:rsidRPr="00116248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tájékoztató jelleggel</w:t>
      </w: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tartalmazza a folyadékhűtők, direkthűtők és hőszivattyúk hűtőkörének számát, valamint az eljárás megindításának időpontjában rendelkezésre álló berendezések típusának meghatározását részenkénti bontásban. 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</w:pPr>
      <w:r w:rsidRPr="00116248">
        <w:rPr>
          <w:rFonts w:ascii="Times New Roman" w:eastAsia="Calibri" w:hAnsi="Times New Roman" w:cs="Times New Roman"/>
          <w:b/>
          <w:sz w:val="26"/>
          <w:szCs w:val="26"/>
          <w:u w:val="single"/>
          <w:lang w:eastAsia="hu-HU"/>
        </w:rPr>
        <w:t>Karbantartás</w:t>
      </w:r>
      <w:r w:rsidRPr="00116248"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  <w:t xml:space="preserve"> valamennyi rész esetében: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A karbantartás gyakorisága:</w:t>
      </w:r>
      <w:r w:rsidRPr="00116248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évente 2 alkalommal: tavasszal és ősszel.</w:t>
      </w:r>
    </w:p>
    <w:p w:rsidR="00E1035D" w:rsidRPr="00116248" w:rsidRDefault="00E1035D" w:rsidP="00E103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</w:pPr>
      <w:r w:rsidRPr="00116248">
        <w:rPr>
          <w:rFonts w:ascii="Times New Roman" w:eastAsia="Calibri" w:hAnsi="Times New Roman" w:cs="Times New Roman"/>
          <w:b/>
          <w:sz w:val="26"/>
          <w:szCs w:val="26"/>
          <w:u w:val="single"/>
          <w:lang w:eastAsia="hu-HU"/>
        </w:rPr>
        <w:t>Szivárgásvizsgálat</w:t>
      </w:r>
      <w:r w:rsidRPr="00116248">
        <w:rPr>
          <w:rFonts w:ascii="Times New Roman" w:eastAsia="Calibri" w:hAnsi="Times New Roman" w:cs="Times New Roman"/>
          <w:sz w:val="26"/>
          <w:szCs w:val="26"/>
          <w:u w:val="single"/>
          <w:lang w:eastAsia="hu-HU"/>
        </w:rPr>
        <w:t xml:space="preserve"> gyakorisága: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Az F-ÜHG-t tartalmazó berendezések általános szivárgásellenőrzési követelményeit, annak gyakoriságát az 517/2014/EU európai parlamenti és tanácsi rendelet 4. cikke, az 1497/2007/EK bizottsági rendelet, valamint az 1516/2007/EK bizottsági rendelet szabályozza. (A szivárgás vizsgálatok gyakoriságát már nem a töltet mennyisége (3-30-300 kg), hanem számított CO2 egyenértéke (5t-50t-500t) határozza meg.)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A karbantartási tevékenységet a műszaki leírás 1. számú mellékletében </w:t>
      </w:r>
      <w:r w:rsidRPr="00116248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tájékoztató jelleggel</w:t>
      </w: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felsorolt gépek (géplista) tekintetében kell elvégezni.</w:t>
      </w:r>
    </w:p>
    <w:p w:rsidR="00E1035D" w:rsidRPr="00116248" w:rsidRDefault="00E1035D" w:rsidP="00E1035D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 karbantartási szerződés géplistája év közben </w:t>
      </w:r>
      <w:r w:rsidRPr="00116248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módosulhat,</w:t>
      </w:r>
      <w:r w:rsidRPr="00116248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 ha a gépjegyzékben szereplő gépek közül, egy vagy több gép selejtezésre, vagy kicserélésre kerül. A selejtezéssel érintett gépek tekintetében a karbantartási tevékenység elszámolás mellett megszűnik. A kicseréléssel érintett gépek tekintetében a karbantartási munkálatokat az </w:t>
      </w:r>
      <w:r w:rsidRPr="00116248">
        <w:rPr>
          <w:rFonts w:ascii="Times New Roman" w:eastAsia="Arial Unicode MS" w:hAnsi="Times New Roman" w:cs="Times New Roman"/>
          <w:sz w:val="26"/>
          <w:szCs w:val="26"/>
          <w:lang w:eastAsia="hu-HU"/>
        </w:rPr>
        <w:lastRenderedPageBreak/>
        <w:t xml:space="preserve">eredeti gép helyébe lépő gépen a szerződés időtartama alatt el kell elvégezni. Amennyiben az eljárásban megjelölt telephelyekre a géplistában nem szereplő, új gép kerül beszerelésre, a karbantartási tevékenységet az ajánlatban megajánlott áron az új gépre vonatkozóan is el kell végezni a szerződés időtartama alatt. </w:t>
      </w:r>
    </w:p>
    <w:p w:rsidR="00E1035D" w:rsidRPr="00116248" w:rsidRDefault="00E1035D" w:rsidP="00E1035D">
      <w:pPr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16248">
        <w:rPr>
          <w:rFonts w:ascii="Times New Roman" w:eastAsia="Calibri" w:hAnsi="Times New Roman" w:cs="Times New Roman"/>
          <w:sz w:val="26"/>
          <w:szCs w:val="26"/>
          <w:u w:val="single"/>
        </w:rPr>
        <w:t>Az elvégezendő munkálatok folyadékhűtők karbantartása esetében: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Ventillátor csapágyazás ellenőrzése (zajosság, melegedés és kopás).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Ventillátorok áramfelvételeinek mérése, hőkioldóinak ellenőrzése.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Ventillátorok és légcsatornák beépítési stabilitásának ellenőrzése 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Kompresszorok ellenőrzése, üzemi nyomások műszeres vizsgálata.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Kompresszor motorvédelmek elektromos ellenőrzése.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Kompresszorok hang és rezgéstechnikai ellenőrzése.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Termosztátok, presszosztátok működési vizsgálata.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Freon hálózatok tömítettség és rezgéstechnikai vizsgálata, utántöltése.</w:t>
      </w:r>
      <w:r w:rsidRPr="00116248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ab/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Berendezések tisztítása, különös tekintettel a kondenzátorra.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Automatika elemek ellenőrzése, beállítása.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Közvetítő folyadék nyomásának ellenőrzése és utántöltése.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Elzáró és szabályozó szerkezetek mechanikai ellenőrzése.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Elektromos csatlakozások ellenőrzése, tisztítása és utánhúzása.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Hűtőköri szűrő szárító ellenőrzése</w:t>
      </w:r>
    </w:p>
    <w:p w:rsidR="00E1035D" w:rsidRPr="00116248" w:rsidRDefault="00E1035D" w:rsidP="00E103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Törekedni kell a készülékek biztonságos és tartós működésére.</w:t>
      </w:r>
    </w:p>
    <w:p w:rsidR="00E1035D" w:rsidRPr="00116248" w:rsidRDefault="00E1035D" w:rsidP="00E1035D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6"/>
          <w:szCs w:val="26"/>
          <w:lang w:eastAsia="hu-HU"/>
        </w:rPr>
      </w:pPr>
    </w:p>
    <w:p w:rsidR="00E1035D" w:rsidRPr="00116248" w:rsidRDefault="00E1035D" w:rsidP="00E1035D">
      <w:pPr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16248">
        <w:rPr>
          <w:rFonts w:ascii="Times New Roman" w:eastAsia="Calibri" w:hAnsi="Times New Roman" w:cs="Times New Roman"/>
          <w:sz w:val="26"/>
          <w:szCs w:val="26"/>
          <w:u w:val="single"/>
        </w:rPr>
        <w:t>Az elvégezendő munkálatok direkthűtők és hőszivattyúk karbantartása esetében: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Ventillátor csapágyazás ellenőrzése (zajosság, melegedés és kopás).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Ventillátorok áramfelvételeinek mérése, hőkioldóinak ellenőrzése.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Kompresszorok ellenőrzése, üzemi nyomások műszeres vizsgálata, villamos teljesítmény felvétel mérés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Kompresszorok hang és rezgéstechnikai ellenőrzése.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Freon hálózatok tömítettség és rezgéstechnikai vizsgálata, utántöltése.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Berendezések tisztítása, különös tekintettel a kondenzátorra és az elpárologtatóra.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Elektromos csatlakozások ellenőrzése, tisztítása és utánhúzása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Olajteknő fűtés ellenőrzése és ventilátor fordulatszám szabályozás, ha a berendezés téliesített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Szűrők ellenőrzése és tisztítása</w:t>
      </w:r>
    </w:p>
    <w:p w:rsidR="00E1035D" w:rsidRPr="00116248" w:rsidRDefault="00E1035D" w:rsidP="00E1035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Törekedni kell a készülékek biztonságos és tartós működésére</w:t>
      </w:r>
    </w:p>
    <w:p w:rsidR="00E1035D" w:rsidRPr="00116248" w:rsidRDefault="00E1035D" w:rsidP="00E1035D">
      <w:pPr>
        <w:ind w:right="28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1035D" w:rsidRPr="00116248" w:rsidRDefault="00E1035D" w:rsidP="00E1035D">
      <w:pPr>
        <w:ind w:right="28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248">
        <w:rPr>
          <w:rFonts w:ascii="Times New Roman" w:eastAsia="Calibri" w:hAnsi="Times New Roman" w:cs="Times New Roman"/>
          <w:sz w:val="26"/>
          <w:szCs w:val="26"/>
        </w:rPr>
        <w:t>A munkálatokat a hatályos jogszabályok és műszaki előírások szerint kell elvégezni.</w:t>
      </w:r>
    </w:p>
    <w:p w:rsidR="00E1035D" w:rsidRPr="00116248" w:rsidRDefault="00E1035D" w:rsidP="00E1035D">
      <w:pPr>
        <w:ind w:right="281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E1035D" w:rsidRPr="00116248" w:rsidRDefault="00E1035D" w:rsidP="00E1035D">
      <w:pPr>
        <w:ind w:right="28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16248">
        <w:rPr>
          <w:rFonts w:ascii="Times New Roman" w:eastAsia="Calibri" w:hAnsi="Times New Roman" w:cs="Times New Roman"/>
          <w:b/>
          <w:sz w:val="26"/>
          <w:szCs w:val="26"/>
          <w:u w:val="single"/>
        </w:rPr>
        <w:t>Eseti hibajavítás</w:t>
      </w:r>
      <w:r w:rsidRPr="0011624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valamennyi rész tekintetében: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>Az eseti hibajavítás körébe nem tartozik a karbantartás során a rendeltetésszerű működés érdekében végzett tevékenység, valamint a garanciális gépek javítása.</w:t>
      </w: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lastRenderedPageBreak/>
        <w:t xml:space="preserve">Az eseti hibajavítási tevékenységet a műszaki leírás 1. számú mellékletében </w:t>
      </w:r>
      <w:r w:rsidRPr="00116248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tájékoztató jelleggel</w:t>
      </w: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felsorolt direkthűtők, folyadékhűtők és hőszivattyúk (géplista) tekintetében kell elvégezni.</w:t>
      </w:r>
    </w:p>
    <w:p w:rsidR="00E1035D" w:rsidRPr="00116248" w:rsidRDefault="00E1035D" w:rsidP="00E1035D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116248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Az eseti hibajavítási szerződés géplistája év közben </w:t>
      </w:r>
      <w:r w:rsidRPr="00116248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módosulhat</w:t>
      </w:r>
      <w:r w:rsidRPr="00116248">
        <w:rPr>
          <w:rFonts w:ascii="Times New Roman" w:eastAsia="Arial Unicode MS" w:hAnsi="Times New Roman" w:cs="Times New Roman"/>
          <w:sz w:val="26"/>
          <w:szCs w:val="26"/>
          <w:lang w:eastAsia="hu-HU"/>
        </w:rPr>
        <w:t>, ha a gépjegyzékben szereplő gépek közül, egy vagy több gép selejtezésre vagy kicserélésre kerül. A selejtezéssel érintett gépek tekintetében a hibajavítási tevékenység elszámolás mellett megszűnik. A kicseréléssel érintett gépek tekintetében a hibajavítási munkálatokat az eredeti gép helyébe lépő gépen a szerződés időtartama alatt el kell elvégezni. Amennyiben az eljárásban megjelölt telephelyekre a géplistában nem szereplő, új gép kerül beszerelésre, az eseti hibajavítási tevékenységet az ajánlatban megajánlott áron az új gépre vonatkozóan is el kell végezni a szerződés időtartama alatt.</w:t>
      </w:r>
    </w:p>
    <w:p w:rsidR="00E1035D" w:rsidRPr="00116248" w:rsidRDefault="00E1035D" w:rsidP="00E1035D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</w:p>
    <w:p w:rsidR="00E1035D" w:rsidRPr="00116248" w:rsidRDefault="00E1035D" w:rsidP="00E1035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248">
        <w:rPr>
          <w:rFonts w:ascii="Times New Roman" w:eastAsia="Calibri" w:hAnsi="Times New Roman" w:cs="Times New Roman"/>
          <w:sz w:val="26"/>
          <w:szCs w:val="26"/>
        </w:rPr>
        <w:t xml:space="preserve">Ajánlatkérő az eseti hibajavítások során felhasznált alkatrészekre plusz díj felszámítása nélkül 6 havi jótállás vállalását írja elő. </w:t>
      </w:r>
    </w:p>
    <w:p w:rsidR="00E1035D" w:rsidRPr="00116248" w:rsidRDefault="00E1035D" w:rsidP="00E1035D">
      <w:pPr>
        <w:tabs>
          <w:tab w:val="right" w:pos="0"/>
          <w:tab w:val="right" w:pos="9026"/>
        </w:tabs>
        <w:spacing w:before="120" w:after="1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16248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Ajánlattevő köteles a hiba feltárását a dokumentált bejelentéstől (e-mail vagy fax) számítottan az értékelési részszempontban vállalt órán belül megkezdi. Az Ajánlattevő a hiba kijavítást az ajánlatkérő által elfogadott árajánlat elfogadását követően kezdheti meg, melynek részletes feltételeit a szerződéstervezet tartalmazza. </w:t>
      </w:r>
      <w:r w:rsidRPr="001162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1035D" w:rsidRPr="00116248" w:rsidRDefault="00E1035D" w:rsidP="00E1035D">
      <w:pPr>
        <w:pStyle w:val="Tiret0"/>
        <w:spacing w:before="0" w:after="0"/>
        <w:rPr>
          <w:b/>
          <w:sz w:val="28"/>
          <w:szCs w:val="28"/>
        </w:rPr>
        <w:sectPr w:rsidR="00E1035D" w:rsidRPr="00116248" w:rsidSect="00B23938">
          <w:footerReference w:type="default" r:id="rId5"/>
          <w:footerReference w:type="first" r:id="rId6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E1035D" w:rsidRPr="00116248" w:rsidRDefault="00E1035D" w:rsidP="00E1035D">
      <w:pPr>
        <w:pStyle w:val="Tiret0"/>
        <w:spacing w:before="0" w:after="240"/>
        <w:jc w:val="right"/>
        <w:rPr>
          <w:sz w:val="22"/>
        </w:rPr>
      </w:pPr>
      <w:bookmarkStart w:id="1" w:name="_GoBack"/>
      <w:bookmarkEnd w:id="1"/>
      <w:r w:rsidRPr="00116248">
        <w:rPr>
          <w:b/>
          <w:sz w:val="26"/>
          <w:szCs w:val="26"/>
          <w:lang w:eastAsia="en-US"/>
        </w:rPr>
        <w:lastRenderedPageBreak/>
        <w:t>Műszaki Leírás 1. sz. melléklet</w:t>
      </w:r>
    </w:p>
    <w:tbl>
      <w:tblPr>
        <w:tblW w:w="511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566"/>
        <w:gridCol w:w="1271"/>
        <w:gridCol w:w="1274"/>
        <w:gridCol w:w="1417"/>
        <w:gridCol w:w="1560"/>
        <w:gridCol w:w="1134"/>
        <w:gridCol w:w="850"/>
        <w:gridCol w:w="1560"/>
        <w:gridCol w:w="1134"/>
        <w:gridCol w:w="1703"/>
      </w:tblGrid>
      <w:tr w:rsidR="00E1035D" w:rsidRPr="00116248" w:rsidTr="00E42B7E">
        <w:trPr>
          <w:trHeight w:val="915"/>
        </w:trPr>
        <w:tc>
          <w:tcPr>
            <w:tcW w:w="2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Rész száma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Telephely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Cím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Klímagáz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Mennyiség.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Hűtő-teljesítmény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Hűtő-körök száma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Gép db szám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Típus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Gyártó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Megnevezés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Szentágothai Kutató-központ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17,8kg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74,6 kW                       Qh 76,3 kW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CWP 021 HP R407 SCROLL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20kg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102,9 kW                       Qh 102,1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CWP 025 HP R407 SCROLL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20kg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102,9 kW                       Qh 102,1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CWP 025 HP R407 SCROLL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28,5kg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130,6 kW                    Qh 127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CWP 030 HP R407 SCROLL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28,5kg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130,6 kW                       Qh 127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CWP 030 HP R407 SCROLL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28,5kg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130,6 kW                       Qh 127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CWP 030 HP R407 SCROLL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28,5kg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130,6 kW                       Qh 127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CWP 030 HP R407 SCROLL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A/52kg, B/52kg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Qh 468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AQWL.1806.LN.R410A.CJ. </w:t>
            </w: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lastRenderedPageBreak/>
              <w:t>MODBUS.CG:FSC.AIR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lastRenderedPageBreak/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Folyadékhűtő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555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660g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2426 W                       Qh 1734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CIAT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660g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2426 W                       Qh 1734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660g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2426 W                       Qh 1734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660g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2426 W                       Qh 1734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660g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2426 W                       Qh 1734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440g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3052 W                       Qh 2056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735g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2214 W                       Qh 1413 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HRW 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Hőszivattyú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</w:p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R134a</w:t>
            </w:r>
          </w:p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plusz hét fokos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Riedel GEKN 3001 SP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Hidegszoba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R134a</w:t>
            </w:r>
          </w:p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plusz tíz fokos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Riedel GEKN 3001 SP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Hidegszoba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3600g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9,8 kW                       Qh 8,8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AWAU-YIF030-H11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3200g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11 kW                       Qh 10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AWAU-YIF036-H11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4030g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13,6 kW                       Qh 12,4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AWAU-YFF045-H13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3550g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11 kW                       Qh 10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AWAU-YIF036-H11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3950g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9,8 kW                       Qh 8,8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AWAU-YIF030-H11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3750g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Qf 11 kW                       Qh 10 kW</w:t>
            </w:r>
          </w:p>
        </w:tc>
        <w:tc>
          <w:tcPr>
            <w:tcW w:w="39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AWAU-YIF036-H13</w:t>
            </w:r>
          </w:p>
        </w:tc>
        <w:tc>
          <w:tcPr>
            <w:tcW w:w="39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Airwell </w:t>
            </w:r>
          </w:p>
        </w:tc>
        <w:tc>
          <w:tcPr>
            <w:tcW w:w="595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76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 (db) :</w:t>
            </w:r>
          </w:p>
        </w:tc>
        <w:tc>
          <w:tcPr>
            <w:tcW w:w="39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65</w:t>
            </w:r>
          </w:p>
        </w:tc>
        <w:tc>
          <w:tcPr>
            <w:tcW w:w="29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64</w:t>
            </w:r>
          </w:p>
        </w:tc>
        <w:tc>
          <w:tcPr>
            <w:tcW w:w="1535" w:type="pct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(Ft/év):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37 050 000</w:t>
            </w:r>
          </w:p>
        </w:tc>
        <w:tc>
          <w:tcPr>
            <w:tcW w:w="1535" w:type="pct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547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KPVK Szekszárd</w:t>
            </w:r>
          </w:p>
        </w:tc>
        <w:tc>
          <w:tcPr>
            <w:tcW w:w="444" w:type="pct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Szekszárd, Rákóczi u. 1.</w:t>
            </w:r>
          </w:p>
        </w:tc>
        <w:tc>
          <w:tcPr>
            <w:tcW w:w="44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R407C</w:t>
            </w:r>
          </w:p>
        </w:tc>
        <w:tc>
          <w:tcPr>
            <w:tcW w:w="49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2x5,8 kg</w:t>
            </w:r>
          </w:p>
        </w:tc>
        <w:tc>
          <w:tcPr>
            <w:tcW w:w="54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2x32,2 kW</w:t>
            </w:r>
          </w:p>
        </w:tc>
        <w:tc>
          <w:tcPr>
            <w:tcW w:w="39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29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McQuay (M4AC120CR-FXAD-R)</w:t>
            </w:r>
          </w:p>
        </w:tc>
        <w:tc>
          <w:tcPr>
            <w:tcW w:w="3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McQuay</w:t>
            </w:r>
          </w:p>
        </w:tc>
        <w:tc>
          <w:tcPr>
            <w:tcW w:w="59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Folyadékhűtő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3,3 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7,1 kW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GENEX GWHD (24) NKCO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GENEX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R410A</w:t>
            </w:r>
          </w:p>
        </w:tc>
        <w:tc>
          <w:tcPr>
            <w:tcW w:w="495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3,3 kg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7,1 kW</w:t>
            </w:r>
          </w:p>
        </w:tc>
        <w:tc>
          <w:tcPr>
            <w:tcW w:w="39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GENEX GWHD (24) NKCO</w:t>
            </w:r>
          </w:p>
        </w:tc>
        <w:tc>
          <w:tcPr>
            <w:tcW w:w="39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GENEX</w:t>
            </w:r>
          </w:p>
        </w:tc>
        <w:tc>
          <w:tcPr>
            <w:tcW w:w="595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Direkthűtő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76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 (db): </w:t>
            </w:r>
          </w:p>
        </w:tc>
        <w:tc>
          <w:tcPr>
            <w:tcW w:w="39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4</w:t>
            </w:r>
          </w:p>
        </w:tc>
        <w:tc>
          <w:tcPr>
            <w:tcW w:w="29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3</w:t>
            </w:r>
          </w:p>
        </w:tc>
        <w:tc>
          <w:tcPr>
            <w:tcW w:w="1535" w:type="pct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(Ft/év):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2 280 000 </w:t>
            </w:r>
          </w:p>
        </w:tc>
        <w:tc>
          <w:tcPr>
            <w:tcW w:w="1535" w:type="pct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center"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91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Hűtőkörök száma mindösszesen (db):</w:t>
            </w:r>
          </w:p>
        </w:tc>
        <w:tc>
          <w:tcPr>
            <w:tcW w:w="3714" w:type="pct"/>
            <w:gridSpan w:val="8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69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mindösszesen (Ft/év):</w:t>
            </w:r>
          </w:p>
        </w:tc>
        <w:tc>
          <w:tcPr>
            <w:tcW w:w="37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39 330 000</w:t>
            </w:r>
          </w:p>
        </w:tc>
      </w:tr>
      <w:tr w:rsidR="00E1035D" w:rsidRPr="00116248" w:rsidTr="00E42B7E">
        <w:trPr>
          <w:trHeight w:val="600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3 évre (Ft):</w:t>
            </w:r>
          </w:p>
        </w:tc>
        <w:tc>
          <w:tcPr>
            <w:tcW w:w="37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5D" w:rsidRPr="00116248" w:rsidRDefault="00E1035D" w:rsidP="00E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162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1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117 990 000</w:t>
            </w:r>
          </w:p>
        </w:tc>
      </w:tr>
    </w:tbl>
    <w:p w:rsidR="00E1035D" w:rsidRPr="00116248" w:rsidRDefault="00E1035D" w:rsidP="00E1035D">
      <w:pPr>
        <w:rPr>
          <w:rFonts w:ascii="Times New Roman" w:hAnsi="Times New Roman" w:cs="Times New Roman"/>
        </w:rPr>
      </w:pPr>
    </w:p>
    <w:p w:rsidR="00A90C7B" w:rsidRDefault="00A90C7B"/>
    <w:sectPr w:rsidR="00A90C7B" w:rsidSect="00E10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122747"/>
      <w:docPartObj>
        <w:docPartGallery w:val="Page Numbers (Bottom of Page)"/>
        <w:docPartUnique/>
      </w:docPartObj>
    </w:sdtPr>
    <w:sdtEndPr/>
    <w:sdtContent>
      <w:p w:rsidR="003611CD" w:rsidRDefault="00E1035D" w:rsidP="00B239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CD" w:rsidRDefault="00E1035D" w:rsidP="00B23938">
    <w:pPr>
      <w:pStyle w:val="llb"/>
    </w:pPr>
  </w:p>
  <w:p w:rsidR="003611CD" w:rsidRDefault="00E1035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3A8"/>
    <w:multiLevelType w:val="hybridMultilevel"/>
    <w:tmpl w:val="54466748"/>
    <w:lvl w:ilvl="0" w:tplc="040E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1499779E"/>
    <w:multiLevelType w:val="hybridMultilevel"/>
    <w:tmpl w:val="7D8AAA8E"/>
    <w:lvl w:ilvl="0" w:tplc="040E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5D"/>
    <w:rsid w:val="0001569E"/>
    <w:rsid w:val="00A90C7B"/>
    <w:rsid w:val="00E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3ABD-ED5B-4EF9-9AF3-B6B7D32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35D"/>
  </w:style>
  <w:style w:type="paragraph" w:styleId="Cmsor1">
    <w:name w:val="heading 1"/>
    <w:aliases w:val="(Chapter),app heading 1,h1,1. számozott szint"/>
    <w:basedOn w:val="Norml"/>
    <w:next w:val="Norml"/>
    <w:link w:val="Cmsor1Char"/>
    <w:uiPriority w:val="9"/>
    <w:qFormat/>
    <w:rsid w:val="0001569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Chapter) Char,app heading 1 Char,h1 Char,1. számozott szint Char"/>
    <w:basedOn w:val="Bekezdsalapbettpusa"/>
    <w:link w:val="Cmsor1"/>
    <w:uiPriority w:val="9"/>
    <w:rsid w:val="0001569E"/>
    <w:rPr>
      <w:rFonts w:ascii="Times New Roman" w:eastAsiaTheme="majorEastAsia" w:hAnsi="Times New Roman" w:cstheme="majorBidi"/>
      <w:b/>
      <w:sz w:val="28"/>
      <w:szCs w:val="32"/>
    </w:rPr>
  </w:style>
  <w:style w:type="paragraph" w:styleId="llb">
    <w:name w:val="footer"/>
    <w:aliases w:val="NCS footer,Footer1"/>
    <w:basedOn w:val="Norml"/>
    <w:link w:val="llbChar"/>
    <w:uiPriority w:val="99"/>
    <w:unhideWhenUsed/>
    <w:rsid w:val="00E1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NCS footer Char,Footer1 Char"/>
    <w:basedOn w:val="Bekezdsalapbettpusa"/>
    <w:link w:val="llb"/>
    <w:uiPriority w:val="99"/>
    <w:rsid w:val="00E1035D"/>
  </w:style>
  <w:style w:type="paragraph" w:customStyle="1" w:styleId="Tiret0">
    <w:name w:val="Tiret 0"/>
    <w:basedOn w:val="Norml"/>
    <w:rsid w:val="00E1035D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1582</Words>
  <Characters>10918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Weiszenburger Vivien</dc:creator>
  <cp:keywords/>
  <dc:description/>
  <cp:lastModifiedBy>Weiszenburger Vivien</cp:lastModifiedBy>
  <cp:revision>1</cp:revision>
  <dcterms:created xsi:type="dcterms:W3CDTF">2018-01-12T08:05:00Z</dcterms:created>
  <dcterms:modified xsi:type="dcterms:W3CDTF">2018-01-12T08:07:00Z</dcterms:modified>
</cp:coreProperties>
</file>