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B30FE9" w:rsidRPr="001D58AB" w:rsidTr="00DE0DE3">
        <w:trPr>
          <w:trHeight w:val="339"/>
        </w:trPr>
        <w:tc>
          <w:tcPr>
            <w:tcW w:w="2376" w:type="dxa"/>
          </w:tcPr>
          <w:p w:rsidR="00B30FE9" w:rsidRPr="001D58AB" w:rsidRDefault="00B30FE9" w:rsidP="00B30FE9">
            <w:pPr>
              <w:pStyle w:val="Listaszerbekezds"/>
              <w:numPr>
                <w:ilvl w:val="0"/>
                <w:numId w:val="1"/>
              </w:numPr>
              <w:suppressAutoHyphens/>
              <w:ind w:left="142" w:hanging="1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</w:rPr>
              <w:t>ajánlati</w:t>
            </w:r>
            <w:proofErr w:type="spellEnd"/>
            <w:r w:rsidRPr="001D58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b/>
              </w:rPr>
              <w:t>rész</w:t>
            </w:r>
            <w:proofErr w:type="spellEnd"/>
          </w:p>
        </w:tc>
        <w:tc>
          <w:tcPr>
            <w:tcW w:w="6912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Demonstrációs Baba Fantom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Eszköz leírása: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>G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Az eszköz legyen alkalmas az alap CPR, a ballonos lélegeztetés, az orális és nazális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intubáció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kivitelezésére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.Legyen</w:t>
      </w:r>
      <w:proofErr w:type="spellEnd"/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alkalmas EKG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monitorizálás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demonstrálására. Legyen alkalmas az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intraossealis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tű bevezetésének gyakorlására.  Az egész alakos baba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anatómiailag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egy 3 hónapos csecsemőt formál.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naptári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baba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anatomiailag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3 hónapos csecsemőt formál.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Alap CPR szimulációja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Trachealis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intubáció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lehetősége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Ballonos lélegeztetés szimulációja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EKG generátor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Intraossealis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tű bevezetésének gyakorlása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8B6EB1" w:rsidRPr="001D58AB" w:rsidTr="00DE0DE3">
        <w:tc>
          <w:tcPr>
            <w:tcW w:w="1809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2. ajánlati rész</w:t>
            </w:r>
          </w:p>
        </w:tc>
        <w:tc>
          <w:tcPr>
            <w:tcW w:w="7253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demonstrációs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phantom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baba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8AB">
        <w:rPr>
          <w:rFonts w:asciiTheme="minorHAnsi" w:hAnsiTheme="minorHAnsi" w:cstheme="minorHAnsi"/>
          <w:color w:val="000000"/>
        </w:rPr>
        <w:t>Az eszköz legyen alkalmas az újszülöttek köldökvénájának katéterezésére, a katéter bevezetésének, a pontos lokalizáció meghatározásának valamint a katéteren keresztül történő vércsere technikájának gyakorlására.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8B6EB1" w:rsidRPr="001D58AB" w:rsidTr="00DE0DE3">
        <w:tc>
          <w:tcPr>
            <w:tcW w:w="4820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Köldökvéna katéterezésre alkalmas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Anatómiailag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újszülöttet formáz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30FE9" w:rsidRPr="001D58AB" w:rsidTr="00DE0DE3">
        <w:tc>
          <w:tcPr>
            <w:tcW w:w="226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3. ajánlati rész</w:t>
            </w:r>
          </w:p>
        </w:tc>
        <w:tc>
          <w:tcPr>
            <w:tcW w:w="679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ultrahang berendezés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vaszkuláris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vizsgálatokra lineáris és konvex fejjel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Ifjúság u. 13.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Hordozható ultrahang berendezés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vaszkuláris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 lineáris és konvex fejjel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kardiovaszkuláris kórképek diagnosztikájának kulcsfontosságú eszköze a modern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 berendezés</w:t>
      </w:r>
      <w:r w:rsidRPr="001D58AB">
        <w:rPr>
          <w:rFonts w:asciiTheme="minorHAnsi" w:hAnsiTheme="minorHAnsi" w:cstheme="minorHAnsi"/>
          <w:sz w:val="24"/>
          <w:szCs w:val="24"/>
        </w:rPr>
        <w:t xml:space="preserve">, ami ionizáló sugárzástól mentesen képes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ereket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, a környező szöveteket és szerveket, a véráramlást és az idegeket ábrázolni. Az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angiológiai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fekvő</w:t>
      </w:r>
      <w:r w:rsidRPr="001D58AB">
        <w:rPr>
          <w:rFonts w:asciiTheme="minorHAnsi" w:hAnsiTheme="minorHAnsi" w:cstheme="minorHAnsi"/>
          <w:sz w:val="24"/>
          <w:szCs w:val="24"/>
        </w:rPr>
        <w:t xml:space="preserve">- és </w:t>
      </w:r>
      <w:r w:rsidRPr="001D58AB">
        <w:rPr>
          <w:rFonts w:asciiTheme="minorHAnsi" w:hAnsiTheme="minorHAnsi" w:cstheme="minorHAnsi"/>
          <w:b/>
          <w:sz w:val="24"/>
          <w:szCs w:val="24"/>
        </w:rPr>
        <w:t>járóbeteg ellátás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ban valamint a </w:t>
      </w:r>
      <w:r w:rsidRPr="001D58AB">
        <w:rPr>
          <w:rFonts w:asciiTheme="minorHAnsi" w:hAnsiTheme="minorHAnsi" w:cstheme="minorHAnsi"/>
          <w:b/>
          <w:sz w:val="24"/>
          <w:szCs w:val="24"/>
        </w:rPr>
        <w:t>konzílium</w:t>
      </w:r>
      <w:r w:rsidRPr="001D58AB">
        <w:rPr>
          <w:rFonts w:asciiTheme="minorHAnsi" w:hAnsiTheme="minorHAnsi" w:cstheme="minorHAnsi"/>
          <w:sz w:val="24"/>
          <w:szCs w:val="24"/>
        </w:rPr>
        <w:t xml:space="preserve">ok adásában is alapvető a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vascularis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alkalmas </w:t>
      </w:r>
      <w:r w:rsidRPr="001D58AB">
        <w:rPr>
          <w:rFonts w:asciiTheme="minorHAnsi" w:hAnsiTheme="minorHAnsi" w:cstheme="minorHAnsi"/>
          <w:b/>
          <w:sz w:val="24"/>
          <w:szCs w:val="24"/>
        </w:rPr>
        <w:t>nagy felbontóképességű</w:t>
      </w:r>
      <w:r w:rsidRPr="001D58AB">
        <w:rPr>
          <w:rFonts w:asciiTheme="minorHAnsi" w:hAnsiTheme="minorHAnsi" w:cstheme="minorHAnsi"/>
          <w:sz w:val="24"/>
          <w:szCs w:val="24"/>
        </w:rPr>
        <w:t xml:space="preserve">, </w:t>
      </w:r>
      <w:r w:rsidRPr="001D58AB">
        <w:rPr>
          <w:rFonts w:asciiTheme="minorHAnsi" w:hAnsiTheme="minorHAnsi" w:cstheme="minorHAnsi"/>
          <w:b/>
          <w:sz w:val="24"/>
          <w:szCs w:val="24"/>
        </w:rPr>
        <w:t>lineáris</w:t>
      </w:r>
      <w:r w:rsidRPr="001D58AB">
        <w:rPr>
          <w:rFonts w:asciiTheme="minorHAnsi" w:hAnsiTheme="minorHAnsi" w:cstheme="minorHAnsi"/>
          <w:sz w:val="24"/>
          <w:szCs w:val="24"/>
        </w:rPr>
        <w:t xml:space="preserve"> és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konvex </w:t>
      </w:r>
      <w:r w:rsidRPr="001D58AB">
        <w:rPr>
          <w:rFonts w:asciiTheme="minorHAnsi" w:hAnsiTheme="minorHAnsi" w:cstheme="minorHAnsi"/>
          <w:sz w:val="24"/>
          <w:szCs w:val="24"/>
        </w:rPr>
        <w:t xml:space="preserve">vizsgáló </w:t>
      </w:r>
      <w:r w:rsidRPr="001D58AB">
        <w:rPr>
          <w:rFonts w:asciiTheme="minorHAnsi" w:hAnsiTheme="minorHAnsi" w:cstheme="minorHAnsi"/>
          <w:b/>
          <w:sz w:val="24"/>
          <w:szCs w:val="24"/>
        </w:rPr>
        <w:t>fejjel</w:t>
      </w:r>
      <w:r w:rsidRPr="001D58AB">
        <w:rPr>
          <w:rFonts w:asciiTheme="minorHAnsi" w:hAnsiTheme="minorHAnsi" w:cstheme="minorHAnsi"/>
          <w:sz w:val="24"/>
          <w:szCs w:val="24"/>
        </w:rPr>
        <w:t xml:space="preserve"> rendelkező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</w:t>
      </w:r>
      <w:r w:rsidRPr="001D58AB">
        <w:rPr>
          <w:rFonts w:asciiTheme="minorHAnsi" w:hAnsiTheme="minorHAnsi" w:cstheme="minorHAnsi"/>
          <w:sz w:val="24"/>
          <w:szCs w:val="24"/>
        </w:rPr>
        <w:t xml:space="preserve"> berendezés. A </w:t>
      </w:r>
      <w:r w:rsidRPr="001D58AB">
        <w:rPr>
          <w:rFonts w:asciiTheme="minorHAnsi" w:hAnsiTheme="minorHAnsi" w:cstheme="minorHAnsi"/>
          <w:b/>
          <w:sz w:val="24"/>
          <w:szCs w:val="24"/>
        </w:rPr>
        <w:t>hordozható</w:t>
      </w:r>
      <w:r w:rsidRPr="001D58AB">
        <w:rPr>
          <w:rFonts w:asciiTheme="minorHAnsi" w:hAnsiTheme="minorHAnsi" w:cstheme="minorHAnsi"/>
          <w:sz w:val="24"/>
          <w:szCs w:val="24"/>
        </w:rPr>
        <w:t xml:space="preserve"> készülék a nem mozgatható fekvőbetegek ágy melletti akut diagnosztikáját is lehetővé teszi. Graduális és posztgraduális oktató és vizsgahelyként fontosnak tartjuk, hogy az orvos- és szakorvosjelöltek is tisztában legyenek az érrendszer és a szervek ultrahangos képmetszeteinek megjelenésével, amihez a </w:t>
      </w:r>
      <w:r w:rsidRPr="001D58AB">
        <w:rPr>
          <w:rFonts w:asciiTheme="minorHAnsi" w:hAnsiTheme="minorHAnsi" w:cstheme="minorHAnsi"/>
          <w:b/>
          <w:sz w:val="24"/>
          <w:szCs w:val="24"/>
        </w:rPr>
        <w:t>képarchiválás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alapkészüléken, adathordozón és központi archiváló rendszeren való megvalósítása szükséges.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Elvárt jótállási idő min. 24 hónap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A készülék kialakítása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Laptop-szerű kialakítás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tömege akkumulátorral együtt Max. 6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akkumulátorról üzemeltethető (akkumulátor szállítandó)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készülékhez gyártott, ahhoz illeszkedő műszerkocsi 1 db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saját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monitorának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mérete: min 15”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Vizsgálati területek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Nyaki és perifériás érvizsgálatok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Hasi 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Idegek vizsgálata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Képalkotás paraméterei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Rendszer dinamika tartomány Min. 220 dB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Szürkeségi fokozatok száma Min. 256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vizsgálati mélység Max. 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Maximális vizsgálati mélység Min. 32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Vizsgálófejek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Csatlakoztatható vizsgálófejek száma: Min.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Konvex vizsgálófej hasi vizsgálatokra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kristályelemeinek száma Min. 128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a képernyőn megjelenő, beállítható frekvencia tartománya Min. 2,0 – 5,0 MHz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konvex vizsgálófej látószöge Min. 50 fok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Lineáris vizsgálófej erek, idegek vizsgálatára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kristályelemeinek száma Min. 192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a képernyőn megjelenő, beállítható frekvencia tartománya Min. 6,0 – 13,0 MHz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felfekvő felületének hossza 35 – 50 mm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megadni, a tulajdonság megléte előny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S=40% Van/Nincs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Üzemmódok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irányjelző színtérképekkel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PW Doppler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triplex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üzemmód (B +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+ PW Doppler szimultán)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Trapezoid képalkotás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Képminőség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9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Beépített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presetek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 különböző alkalmazásokhoz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Szöveti felharmonikus megjelenítés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919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Szemcsésség csökkentő képjavító eljárás (pl. XRES, SRI, HI-REZ vagy ezekkel egyenértékű technika)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szemcsésség csökkentő képjavító eljárás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Sono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CT,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CrossXBeam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vagy ezzel egyenértékű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technika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6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együtt használható a trapezoid képalkotással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képoptimalizálás egy gomb megnyomásával B-módban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Automatikus képoptimalizálás egy gomb megnyomásával PW Doppler-módban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Képtárolási lehetőségek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Cine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memória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Páciens adatok és képek tárolása páciens adatbázisban a készülékbe beépített merevlemezen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8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készülékbe beépített merevlemez tárolókapacitás a páciens adatbázis számára Min. 50 GB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B-módú képeken utólag állítható az alábbi paraméterek mindegyike: erősítés, szürkeskála (gammagörbe)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merevlemezén, a páciens adatbázisban tárolt, onnan visszahívott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Doppler-módú képeken utólag állítható az alábbi paraméterek mindegyike: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invertálás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színtérkép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map)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PW- Doppler-módú képeken utólag állítható az alábbi paraméterek mindegyike: erősítés, alapvonal, szögkorrekció, vízszintes eltérítési sebesség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Teljeskörű DICOM kompatibilitás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Dicom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exportja USB pen drive-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közvetlenül az ultrahang készülékről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9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Állóképek exportja min. JPEG, vagy BMP, vagy TIFF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Mozgóképek exportja min. AVI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Mérési és számítási programok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Érvizsgálati mérőcsomag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IMT mérés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Valós idejű, automatikus Doppler mérések és számítások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Egyéb szolgáltatások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99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oktató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1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Kimenetek, perifériák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3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Ethernet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Fekete-fehér videóprinter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Igen/Nem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 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40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0FE9" w:rsidRPr="001D58AB" w:rsidTr="00DE0DE3">
        <w:tc>
          <w:tcPr>
            <w:tcW w:w="183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ajánlati rész </w:t>
            </w:r>
          </w:p>
        </w:tc>
        <w:tc>
          <w:tcPr>
            <w:tcW w:w="722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Bodypletizmográf</w:t>
            </w:r>
            <w:proofErr w:type="spellEnd"/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Rákóczi u. 2.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Bodypletizmográf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opcionálisan kórházi rendszerbe kötve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Általános elvárások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meglévő,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Sensormedics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22d típusú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pletizmográf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adatbázisával kompatibilis, annak páciens demográfiai adatait és mérési eredményeit saját adatbázisában felhasználni képes készülék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vezérelt központi egység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24” LCD monitor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0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Színes nyomtató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638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Kerekeken gördíthető (amelyekből legalább kettő fékezhető) készülék kocsi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5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Számítógépes páciens adatbázis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Biztonsági mentéskészítés/Visszaállítás lehetősége a szoftverből a páciens adatbázis tekintetében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Zárt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kabin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Nagyméretű, öt oldalán üvegfelülettel ellátott kabin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Alacsony lépésmagasságú kabin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7 cm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kabinajtó elektromágnesesen (vagy ezzel egyenértékű módon záródik) záródik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7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fenti ajtózár nyitása a kabinon kívülről és belülről is lehetséges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6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áramlásérzékelő fej magassága, pozíciója könnyedén változtatható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padlójához rögzített, nagy teherbírású (Min. 150 kg), állítható magasságú forgószék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3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hangszóró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Nyomáskiegyenlítő tartály nélküli kivitel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diffúziós egység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Számítógép vezérelt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kalibrálású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CO és CH4 gáz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analizárotok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kabin kalibrálás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térfogata Min. 1100 liter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8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 tömege (ajtóval együtt) Max. 180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Standard mérési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3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Lassú és forszírozott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maximális akaratlagos légzés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Abszolút statikus tüdőtérfogatok meghatározása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Légúti ellenállás mérés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8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„Pre” és „Post” mérési lehetőségek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(lassú, vagy forszírozott) mérése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kombinálhatósága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mérésmeneten belül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Tréning mód elérhetősége diffúziós mérésnél (a mérési szekvencia végrehajtása diffúziós gáz belégzése nélkül)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animációk a páciens kooperativitás növelésének érdekében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„Kell érték” számítás különböző, nemzetközileg is elismert tanulmány szerint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Meglévő „kell érték” készletek módosításának, új készletek készítésének lehetősége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Azonnali visszajelzés (szöveges és grafikus) az egyes mérések ATS/ERS standardoknak való minőségi megfelelésről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Lelet nyomtatása előre definiált riportok alapján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Egyedi (felhasználó által meghatározott tartalmú táblázatok, grafikonok) riportok készítésének lehetősége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Gyorsnézet lehetősége a riportok nyomtatása előtt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Vélemény írásának lehetősége az egyes leletekhez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Áramlásmérés, térfogatmérés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Az alkalmazott áramlásérzékelő nem igényel felhasználó általi kalibrációt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Vízálló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Ultrahangos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Igen/nem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tartománya min. ± 18 l/sec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tartománya 30 liter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tartománya ± 20 kPa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pontossága ± 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Opcionális mérési és bővítési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5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MIP/MEP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P0.1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Rocc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Aerosol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provokáció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9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Interfész vérgáz analizátorhoz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Kórházi információs rendszerbe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eMed-Sol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), /páciens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adatok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ill. mért paraméterek, átadására-átvételére/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Értékelési szempont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opció árát kérjük megadni!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Kabinra rögzíthető második monitor a jobb páciens együttműködés elérése érdekében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4714"/>
        <w:gridCol w:w="2375"/>
      </w:tblGrid>
      <w:tr w:rsidR="00B30FE9" w:rsidRPr="001D58AB" w:rsidTr="00DE0DE3">
        <w:tc>
          <w:tcPr>
            <w:tcW w:w="1915" w:type="dxa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 ajánlati rész</w:t>
            </w:r>
          </w:p>
        </w:tc>
        <w:tc>
          <w:tcPr>
            <w:tcW w:w="471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Géldokumentációs rendszer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Pécsi Tudományegyetem Orvosi Mikrobiológiai és Immunitástani Intézet (</w:t>
            </w:r>
            <w:hyperlink r:id="rId5" w:history="1">
              <w:hyperlink r:id="rId6" w:history="1">
                <w:r w:rsidRPr="001D58AB">
                  <w:rPr>
                    <w:rFonts w:asciiTheme="minorHAnsi" w:hAnsiTheme="minorHAnsi" w:cstheme="minorHAnsi"/>
                    <w:sz w:val="24"/>
                    <w:szCs w:val="24"/>
                    <w:lang w:eastAsia="ar-SA"/>
                  </w:rPr>
                  <w:t>7624   Pécs, Szigeti út 12.</w:t>
                </w:r>
              </w:hyperlink>
            </w:hyperlink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)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Gyártó: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  <w:u w:val="single"/>
        </w:rPr>
      </w:pPr>
      <w:r w:rsidRPr="001D58AB">
        <w:rPr>
          <w:rFonts w:asciiTheme="minorHAnsi" w:hAnsiTheme="minorHAnsi" w:cstheme="minorHAnsi"/>
          <w:u w:val="single"/>
        </w:rPr>
        <w:t>Technológiai leírás:</w:t>
      </w:r>
      <w:r w:rsidRPr="001D58AB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  <w:r w:rsidRPr="001D58AB">
        <w:rPr>
          <w:rFonts w:asciiTheme="minorHAnsi" w:hAnsiTheme="minorHAnsi" w:cstheme="minorHAnsi"/>
          <w:b w:val="0"/>
          <w:bCs w:val="0"/>
        </w:rPr>
        <w:t xml:space="preserve">Különböző festékkel festett DNS, RNS. fehérje mintákat tartalmazó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agaróz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és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poliakrilamid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elektroforetikus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gélek és mintáinak detektálása, digitális kép generálása és rögzítése. A digitális kép segítségével a minták molekula tömegének megállapítása, a különböző minták elválasztási mintázatainak összehasonlítása és elemzése.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570"/>
        <w:gridCol w:w="2699"/>
      </w:tblGrid>
      <w:tr w:rsidR="00B30FE9" w:rsidRPr="001D58AB" w:rsidTr="00DE0DE3">
        <w:trPr>
          <w:trHeight w:val="1025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Megkövetelt minimum paraméterek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elvárások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Teljesített, megajánlott paraméterek</w:t>
            </w: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rendszer, optika, kamera: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Képérzékelő típusa: legyen CCD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charge-coupled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cevice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Kamera felbontás minimum: 4 Mp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Pixel méret (H x V) maximum: 4,65 x 4,65 µm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Fény Dinamikus Tartomány: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(sötét –világos) legalább 3 nagyságrend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Pixel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denzitás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,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gray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levels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):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min. 4,096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bit mélység: minimum 16 bit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expozíció: legalább 0,01s – 1 min tartományban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rögzített kép terület minimum: 19x25 cm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</w:t>
            </w:r>
            <w:proofErr w:type="spellStart"/>
            <w:r w:rsidRPr="001D58AB">
              <w:rPr>
                <w:rFonts w:asciiTheme="minorHAnsi" w:hAnsiTheme="minorHAnsi" w:cstheme="minorHAnsi"/>
              </w:rPr>
              <w:t>autofókusz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szoftveresen is állítható </w:t>
            </w:r>
            <w:proofErr w:type="spellStart"/>
            <w:r w:rsidRPr="001D58AB">
              <w:rPr>
                <w:rFonts w:asciiTheme="minorHAnsi" w:hAnsiTheme="minorHAnsi" w:cstheme="minorHAnsi"/>
              </w:rPr>
              <w:t>expozició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és zoom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később fejleszthető legyen kemilumineszcencia detektálásra is.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Fényforrások, megvilágítások, szűrők: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lastRenderedPageBreak/>
              <w:t>Minimum 302 nm-es ultraibolya tartományban átvilágítás (UV transzillumináció)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Több UV hullámhossz választható az átvilágításhoz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látható tartományban fehér fény transzillumináció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felülről fehér fény megvilágítás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auto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Opcionálisan választható legyen UV- fényt kék fénnyé átalakító szűrő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(UV/kék konverzió) alkalmazása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Szűrő tartó legalább 3 pozíciós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és kiértékelő szoftver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 a rendszer elválaszthatatlan része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a felvétel paramétereinek automatikus és manuális beállításának lehetősége.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a képfájlba legalább az expozíciós adatokat rögzíteni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Exchangeable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image file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format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Exif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 )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Kép kiértékeléshez tartalmazzon ajánlott protokollokat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gél képek normalizálására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képek feliratozására.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denzitometriára</w:t>
            </w:r>
            <w:proofErr w:type="spellEnd"/>
            <w:r w:rsidRPr="001D58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kolorimetriára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program támogassa legalább a </w:t>
            </w:r>
            <w:r w:rsidRPr="001D58AB">
              <w:rPr>
                <w:rFonts w:asciiTheme="minorHAnsi" w:hAnsiTheme="minorHAnsi" w:cstheme="minorHAnsi"/>
                <w:lang w:val="en-GB"/>
              </w:rPr>
              <w:t>Tagged Image Format, (TIF)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rendszer támogassa legalább </w:t>
            </w:r>
            <w:proofErr w:type="gramStart"/>
            <w:r w:rsidRPr="001D58AB">
              <w:rPr>
                <w:rFonts w:asciiTheme="minorHAnsi" w:hAnsiTheme="minorHAnsi" w:cstheme="minorHAnsi"/>
              </w:rPr>
              <w:t>a  TIF</w:t>
            </w:r>
            <w:proofErr w:type="gramEnd"/>
            <w:r w:rsidRPr="001D58AB">
              <w:rPr>
                <w:rFonts w:asciiTheme="minorHAnsi" w:hAnsiTheme="minorHAnsi" w:cstheme="minorHAnsi"/>
              </w:rPr>
              <w:t xml:space="preserve"> fáj formátumú képek importját.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kompatibilis a legalább Windows 7 és ezek feletti operációs rendszerekkel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Számítógép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Min Intel I3 processzor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legalább 2 db USB 2.0 csatlakozót tartalmazzon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15” min. HD monitor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4 GB memória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HDD min. 1 TB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Hálózati csatlakozás (RJ-45)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magyarországi szerviz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Ingyenes üzembe helyezés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és betanítás legalább 3 fő részére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DE3" w:rsidRPr="001D58AB" w:rsidTr="00DE0DE3">
        <w:trPr>
          <w:trHeight w:val="397"/>
        </w:trPr>
        <w:tc>
          <w:tcPr>
            <w:tcW w:w="2093" w:type="pct"/>
            <w:vAlign w:val="center"/>
          </w:tcPr>
          <w:p w:rsidR="00DE0DE3" w:rsidRPr="001D58AB" w:rsidRDefault="000722B7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Szoftverjogok: </w:t>
            </w:r>
            <w:bookmarkStart w:id="0" w:name="_GoBack"/>
            <w:bookmarkEnd w:id="0"/>
            <w:r w:rsidR="00DE0DE3" w:rsidRPr="00DE0DE3">
              <w:rPr>
                <w:rFonts w:asciiTheme="minorHAnsi" w:hAnsiTheme="minorHAnsi" w:cstheme="minorHAnsi"/>
              </w:rPr>
              <w:t xml:space="preserve">az ajánlati ár tartalmazza a szoftver legalább 2 </w:t>
            </w:r>
            <w:r w:rsidR="00DE0DE3" w:rsidRPr="00DE0DE3">
              <w:rPr>
                <w:rFonts w:asciiTheme="minorHAnsi" w:hAnsiTheme="minorHAnsi" w:cstheme="minorHAnsi"/>
              </w:rPr>
              <w:lastRenderedPageBreak/>
              <w:t>számítógépre történő telepíthetőségét *</w:t>
            </w:r>
          </w:p>
        </w:tc>
        <w:tc>
          <w:tcPr>
            <w:tcW w:w="1418" w:type="pct"/>
            <w:vAlign w:val="center"/>
          </w:tcPr>
          <w:p w:rsidR="00DE0DE3" w:rsidRPr="001D58AB" w:rsidRDefault="00DE0DE3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1489" w:type="pct"/>
            <w:vAlign w:val="center"/>
          </w:tcPr>
          <w:p w:rsidR="00DE0DE3" w:rsidRPr="001D58AB" w:rsidRDefault="00DE0DE3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baktérium telepszámlálási képessége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(szoftver) képessége klaszterek képzésére és analízisére, hasonlósági elemzése, hasonlósági fák (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dendrogram</w:t>
            </w:r>
            <w:proofErr w:type="spellEnd"/>
            <w:r w:rsidRPr="001D58AB">
              <w:rPr>
                <w:rFonts w:asciiTheme="minorHAnsi" w:hAnsiTheme="minorHAnsi" w:cstheme="minorHAnsi"/>
              </w:rPr>
              <w:t>) generálása.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1 évnél hosszabb teljes körű garancia (min. 12 hónap, </w:t>
            </w:r>
            <w:proofErr w:type="spellStart"/>
            <w:r w:rsidRPr="001D58AB">
              <w:rPr>
                <w:rFonts w:asciiTheme="minorHAnsi" w:hAnsiTheme="minorHAnsi" w:cstheme="minorHAnsi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36. hónap)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Kérjük megadni!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B30FE9" w:rsidP="00B30FE9">
      <w:pPr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* </w:t>
      </w:r>
      <w:r w:rsidRPr="001D58AB">
        <w:rPr>
          <w:rFonts w:asciiTheme="minorHAnsi" w:hAnsiTheme="minorHAnsi" w:cstheme="minorHAnsi"/>
          <w:b/>
          <w:sz w:val="24"/>
          <w:szCs w:val="24"/>
        </w:rPr>
        <w:t>A megajánlott termék árának a szoftv</w:t>
      </w:r>
      <w:r w:rsidR="00DE0DE3">
        <w:rPr>
          <w:rFonts w:asciiTheme="minorHAnsi" w:hAnsiTheme="minorHAnsi" w:cstheme="minorHAnsi"/>
          <w:b/>
          <w:sz w:val="24"/>
          <w:szCs w:val="24"/>
        </w:rPr>
        <w:t>er vételárát tartalmaznia kell.</w:t>
      </w: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8B6EB1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</w:t>
      </w:r>
      <w:r w:rsidR="00B30FE9" w:rsidRPr="001D58AB">
        <w:rPr>
          <w:rFonts w:asciiTheme="minorHAnsi" w:hAnsiTheme="minorHAnsi" w:cstheme="minorHAnsi"/>
          <w:b/>
          <w:sz w:val="24"/>
          <w:szCs w:val="24"/>
        </w:rPr>
        <w:t>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4961"/>
        <w:gridCol w:w="2375"/>
      </w:tblGrid>
      <w:tr w:rsidR="00B30FE9" w:rsidRPr="001D58AB" w:rsidTr="00DE0DE3">
        <w:tc>
          <w:tcPr>
            <w:tcW w:w="1851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ULTRAMÉLYHŰTŐ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Pécsi Tudományegyetem Orvosi Mikrobiológiai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lmmunitástani</w:t>
            </w:r>
            <w:proofErr w:type="spellEnd"/>
          </w:p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lntézet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(7624 Pécs, Szigeti út 12.)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Technológiai leírás: </w:t>
      </w:r>
    </w:p>
    <w:tbl>
      <w:tblPr>
        <w:tblW w:w="92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1203"/>
        <w:gridCol w:w="3324"/>
      </w:tblGrid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Paraméter: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Megkívánt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Ajánlat</w:t>
            </w: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álló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hőszigetelt, kulccsal zárható Külső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16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két hőszigetelt belső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három dararab teli, rozsdamentes acél polc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négy rakodási szint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belső felület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készülék külső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Hasznos térfogat minimum 510 liter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Külső méret széles x magas maximum 850x2000 [mm] (ajtón be kell férnie)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minimum 1 db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validálási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nyílás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Hőmérséklet szabályozási tartomány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-50°C, és -86°C között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Hangterhelés: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 55 dB [A]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mikroprocesszoros Hőmérséklet szabályozás: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LCD Kijelző: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Megjelenítő panel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egyidejű jelzései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 beállított hőmérséklet, aktuális hőmérséklet, aktív riasztások, dátum és idő, ajtónyitás/zárás jelzése, üzemmód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Beállítható paraméterek és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funkciók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kamra hőmérséklete, hőmérséklet felső riasztási határérték, hőmérséklet alsó riasztási határérték, jelszavas billentyűzár, dátum és idő beállítás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Figyelmeztető jelzések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abnormális környezeti hőmérséklet (≥35 vagy≤0), alacsony hálózati feszültség, hőmérséklet határértékek túllépése, hálózati feszültség kimaradás, nyitott ajtó jelzés, akkumulátor élettartam figyelés hőmérséklet érzékelők funkció ellenőrzése, hőcserélő hőmérséklete, ventilátorok működőképessége, független hűtőkörök működése, akkumulátor bekapcsolva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Figyelmeztetés módja fény és hangjelzés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Távolsági figyelmeztetés: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Tárolási kapacitás minimum 380 db 2" magas, 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133x133 mm-es doboz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USB Interfész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5159" w:type="pct"/>
        <w:tblInd w:w="-289" w:type="dxa"/>
        <w:tblLook w:val="04A0" w:firstRow="1" w:lastRow="0" w:firstColumn="1" w:lastColumn="0" w:noHBand="0" w:noVBand="1"/>
      </w:tblPr>
      <w:tblGrid>
        <w:gridCol w:w="7428"/>
        <w:gridCol w:w="1922"/>
      </w:tblGrid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szempontok: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Súlyszám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Ajánlati ár: (fordított arányosítás)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Egy kompresszor meghibásodása esetén is legalább - 65°C-on tudja tartani a mintát.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+30°C környezeti hőmérséklet mellett folyamatosan tudja tartani a -86°C-t.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A külső – belső térfogat aránya kisseb, mint 2,7. 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Állítható polctávolság.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8B6EB1" w:rsidRPr="001D58AB" w:rsidRDefault="008B6EB1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B30FE9" w:rsidRPr="001D58AB" w:rsidTr="00DE0DE3">
        <w:tc>
          <w:tcPr>
            <w:tcW w:w="166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7. ajánlati rész</w:t>
            </w:r>
          </w:p>
        </w:tc>
        <w:tc>
          <w:tcPr>
            <w:tcW w:w="739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pH és vezetőképesség-mérő multiméter elektródokkal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6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Vezetőképesség- és pH mérésére is alkalmas legyen, elektródokkal együtt.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 és vezetőképesség-mérő multiméter elektródokkal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pH: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0-14 pH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Felbontás pH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0.01 pH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Pontosság min: 0,2% +-1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vezetőképesség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vezetőképesség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0.01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Pontosság min: 1% a skála teljes tartományában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pH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pH mérés 3 ponton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Kalibrációhoz szükséges pufferek (3 db 0-14 pH tartományban)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pH elektród tárolásához szükséges oldat 1 db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vezetőképesség mérés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kalibrálásához szükséges kalibráló standard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Akkumulátoros és hálózati üzemre alkalmas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 kivitel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8.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2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Az élősejt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monitorizáló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és vizsgáló műszer laboratóriumokban alkalmazott eszköz, amely alkalmas a sejtekben lejátszódó folyamatok állandó, online követésére, több napon keresztül.  Kis mérete révén akár több műszer egyidejűleg használható a sejttenyésztéshez szükséges inkubátorokban, hordozható változata pedig rugalmassá teszi a munkát.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Kis méret, internetes kapcsolat, hordozhatóság, adattárolás,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real-time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követés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Mint például: LONZA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CytoSMART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2 System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 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Real-Time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Monitorizálás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hordozhatóság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méret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150x100x150 mm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Vezeték nélküli IT hálózatba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-Fi)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online hibajelzés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nagyítás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100X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zoom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2x (digitális)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képfelbontás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1280x7250 pixel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eredmények exportálhatók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Excel,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Videó exportálása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AVI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exportálhatósága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LED fényforrás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Bürker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kamrával történő sejtszámlálás funkció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Wifi-vel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LAN kábellel is csatlakoztatható hálózatikapcsolat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ajánlati rész 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 5 µL minta pH méréséhez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 (1 mikro pH elektród+1 mérő készülék)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Tudományegyetem,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Képes legyen 5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mikroliter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térfogatú minta pH értékének meghatározására.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Mint pl.: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Mettler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Toledo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InLab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Nano</w:t>
      </w:r>
      <w:proofErr w:type="spellEnd"/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Minimális minta térfogat (pH elektród) min. 1 µL 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µL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Igen, 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(kisebb jobb)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Súlyszám: 20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(pH elektród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)min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(mérő készülék)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pH (pH elektród és mérő készülék)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0.01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elektród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Csatlakozó (pH elektród és mérő készülék) BNC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 (mérő készülék) 1 kg alatt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Mérő elektród tartó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10.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Turbómolekuláris szivattyú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sz w:val="24"/>
          <w:szCs w:val="24"/>
        </w:rPr>
        <w:t>turbómolekuláris szivattyú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turbómolekuláris szivattyú legyen kompatibilis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Agilent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Technologies által gyártott LC/MS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Trap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XCT Ultra típusú ioncsapdás tömegspektrométer készülékkel.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A turbómolekuláris szivattyú legyen kompatibilis az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Agilent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Technologies által gyártott LC/MS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Trap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XCT Ultra típusú ioncsapdás tömegspektrométer készülékkel.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Bemeneti csonk: DN40NW, DN50NW, DN63CF, vagy DN63ISO-K</w:t>
            </w: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Kimeneti csonk: DN16NW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Szellőző port 1/8 inch BSP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nyomás maximum: 5*10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-7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11.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hűthető asztali centrifuga tartozékokkal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:.</w:t>
      </w:r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Hűthető asztali centrifuga, mely alkalmas 50 és 15 ml Falcon csövek, valamint 1,5 ml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csövek 4 C-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on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való centrifugálására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Falcon csövek centrifugálásához kilendülő fejes,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csövekhez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szögrotor szükséges. Az elérhető fordulatszám legyen legalább 5000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Falcon csövek, és 180000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csövek esetén. Ezen kívül programozható hűtött centrifugálást tesz lehetővé, ami biztosítja a hőérzékeny minták stabilitását.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Hűthető, hőmérséklet állítható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-10 és +40 °C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Fordulatszám minimum 2000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Fordulatszám (RCF) legalább 10-es, vagy kisebb lépésenként állítható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Időzítő 30 sec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1°C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Gyorsítás, lassítás 8, vagy több fokozatban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Alkalmas rövid, manuális centrifugálásra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, vagy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impulse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mód)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Automata rotor felismerés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Minimum 10 programhely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Rázkódás esetén automata vészleállás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szögrotorral, mely alkalmas legalább 24 db 1,5 ml-es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eppendorf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cső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4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30x 116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8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17x 120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 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12.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Vertikális áramlású lamináris fülke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A rozsdamentes munkaasztal szélessége legalább 110 cm legyen. A készülék rendelkezzen beépített, programozható UV lámpával, valamint lábazattal.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vertikális áramlású lamináris áramlású mikrobiológiai biztonsági fülke célja, hogy biztonságos munkakörnyezetet biztosítson a felhasználó, a minta és a munkakörnyezet számára egyaránt. A fülke a lamináris áramlás alapelvén működik. Az előírásoknak megfelelő kiáramló / visszaáramló légmennyiség arányban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keringeti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a levegőt, ezzel minimalizálva a keresztfertőzés veszélyét a kevésbé veszélyes biológiai minták esetében.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szélessége minimum 110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HEPA filter, hatékonysága min. 99,999 % a 0,3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μm-nél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nagyobb részecskékkel szemben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Megnövelt vastagságú HEPA szűrő, minimum 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Légsebesség minimum 0,25 m/s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UV lámpa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 acél munkaasztal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Szabályozható fényerősség minimum 0-1800 lux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lábazat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Vertikális levegőáramlás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 LCD kijelzővel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 és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UV lámpa programozható működtetése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84627476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13.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-80 C-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mélyfagyasztó, széndioxid back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rendszerrel</w:t>
            </w:r>
          </w:p>
        </w:tc>
      </w:tr>
      <w:bookmarkEnd w:id="1"/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mélyfagyasztó hasznos belső térfogata haladja meg a 90 l-t, az elérhető legalacsonyabb hőmérséklet legalább -86 C legyen; Áramkimaradás esetére a készülék rendelkezzen széndioxid back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rendszerrel. Digitális kijelző, mikroprocesszoros kontroll, valamint beépített adatgyűjtő rendszer szükséges. A belső tér rozsdamentes acélból készüljön.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mélyfagyasztó hasznos térfogata legalább 90 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 típus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Tárolható fagyasztódobozok száma legalább 40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Beállítható hőmérséklet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- 40 C-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tól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 - 86C 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hőmérséklet kijelzés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Állítható alsó és felső riasztási határérték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Belső tér: rozsdamentes acél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backup-hoz és extra Pt 100 hőmérőhöz plusz bemeneti nyílás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Vészjelzés nyitott ajtó és áramszünet esetén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Beépített adatgyűjtő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Zárható ajtó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Vizuális,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14.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inkubátor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Direkt fűtésű CO</w:t>
      </w:r>
      <w:r w:rsidRPr="001D58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D58AB">
        <w:rPr>
          <w:rFonts w:asciiTheme="minorHAnsi" w:hAnsiTheme="minorHAnsi" w:cstheme="minorHAnsi"/>
          <w:sz w:val="24"/>
          <w:szCs w:val="24"/>
        </w:rPr>
        <w:t xml:space="preserve"> inkubátor, amely rendelkezik sterilizációs ciklussal. Rozsdamentes acél belsővel.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0-20%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beállítás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tartomány: minimum szobahő+3°C-tól +50°C-ig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±0,1°C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Rozsdamentes, korrózió rezisztens acél belső tér és polcok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szenzor: IR szenzor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Kapacitás: minimum 150 liter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Túlfűtés elleni védelem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HEPA szűrő: bementi CO2 oldalon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keresztül lementhetők a tárol adatok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Mikroprocesszoros PID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Magas hőmérsékletű min. 200 C-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sterilizációs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reduktor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Dupla szigetelésű inkubátor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Direkt fűtésű készülék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</w:t>
      </w:r>
    </w:p>
    <w:p w:rsidR="008B6EB1" w:rsidRPr="001D58AB" w:rsidRDefault="008B6EB1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B30FE9" w:rsidRPr="001D58AB" w:rsidTr="00DE0DE3">
        <w:tc>
          <w:tcPr>
            <w:tcW w:w="237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15. ajánlati rész</w:t>
            </w:r>
          </w:p>
        </w:tc>
        <w:tc>
          <w:tcPr>
            <w:tcW w:w="668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Inverz mikroszkóp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trinokuláris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inverz mikroszkóp rendelkezzen halogén és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epifluoreszcens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megvilágítással, nagyfelbontású színes kamerával, a kamera csatlakoztatásához szükséges adapterrel. 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C81D6F" w:rsidRPr="001D58AB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Standard objektívek legalább 10x; 20x; 40x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Fáziskontraszt objektív legalább 20x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halogén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Fluoreszcens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befogó 96 lyukú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mikrotiter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platehez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trinokuláris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elrendezés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70A12" w:rsidRPr="00B70A12" w:rsidRDefault="00B30FE9" w:rsidP="00B70A12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színes kamera software-el, illesztő kábellel</w:t>
            </w:r>
            <w:r w:rsidR="00B70A12">
              <w:rPr>
                <w:rFonts w:asciiTheme="minorHAnsi" w:hAnsiTheme="minorHAnsi" w:cstheme="minorHAnsi"/>
              </w:rPr>
              <w:t>, amely minimum az alábbi paraméterekkel rendelkezik: i</w:t>
            </w:r>
            <w:r w:rsidR="00B70A12" w:rsidRPr="00B70A12">
              <w:rPr>
                <w:rFonts w:asciiTheme="minorHAnsi" w:hAnsiTheme="minorHAnsi" w:cstheme="minorHAnsi"/>
              </w:rPr>
              <w:t>dőzített felvételek és videó készítése</w:t>
            </w:r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 xml:space="preserve">épfelbontás min. 1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Mpixel</w:t>
            </w:r>
            <w:proofErr w:type="spellEnd"/>
            <w:r w:rsidR="00B70A12">
              <w:rPr>
                <w:rFonts w:asciiTheme="minorHAnsi" w:hAnsiTheme="minorHAnsi" w:cstheme="minorHAnsi"/>
              </w:rPr>
              <w:t>, t</w:t>
            </w:r>
            <w:r w:rsidR="00B70A12" w:rsidRPr="00B70A12">
              <w:rPr>
                <w:rFonts w:asciiTheme="minorHAnsi" w:hAnsiTheme="minorHAnsi" w:cstheme="minorHAnsi"/>
              </w:rPr>
              <w:t xml:space="preserve">árhely min 8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Gbyte</w:t>
            </w:r>
            <w:proofErr w:type="spellEnd"/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>épformátum min. JPEG vagy TIFF</w:t>
            </w:r>
            <w:r w:rsidR="00B70A12">
              <w:rPr>
                <w:rFonts w:asciiTheme="minorHAnsi" w:hAnsiTheme="minorHAnsi" w:cstheme="minorHAnsi"/>
              </w:rPr>
              <w:t>, v</w:t>
            </w:r>
            <w:r w:rsidR="00B70A12" w:rsidRPr="00B70A12">
              <w:rPr>
                <w:rFonts w:asciiTheme="minorHAnsi" w:hAnsiTheme="minorHAnsi" w:cstheme="minorHAnsi"/>
              </w:rPr>
              <w:t>ideo min</w:t>
            </w:r>
            <w:proofErr w:type="gramStart"/>
            <w:r w:rsidR="00B70A12" w:rsidRPr="00B70A12">
              <w:rPr>
                <w:rFonts w:asciiTheme="minorHAnsi" w:hAnsiTheme="minorHAnsi" w:cstheme="minorHAnsi"/>
              </w:rPr>
              <w:t>.:</w:t>
            </w:r>
            <w:proofErr w:type="gramEnd"/>
            <w:r w:rsidR="00B70A12" w:rsidRPr="00B70A12">
              <w:rPr>
                <w:rFonts w:asciiTheme="minorHAnsi" w:hAnsiTheme="minorHAnsi" w:cstheme="minorHAnsi"/>
              </w:rPr>
              <w:t xml:space="preserve"> AVI </w:t>
            </w:r>
          </w:p>
          <w:p w:rsidR="00B30FE9" w:rsidRPr="001D58AB" w:rsidRDefault="00B70A12" w:rsidP="005511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5116D" w:rsidRPr="00B70A12">
              <w:rPr>
                <w:rFonts w:asciiTheme="minorHAnsi" w:hAnsiTheme="minorHAnsi" w:cstheme="minorHAnsi"/>
                <w:sz w:val="24"/>
                <w:szCs w:val="24"/>
              </w:rPr>
              <w:t xml:space="preserve"> megajánlott termék árának a szoftver vételárát tartalmaznia kell.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kamera adapter mikroszkóphoz való csatlakozáshoz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81D6F" w:rsidRDefault="00C81D6F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95759" w:rsidRPr="00A95C22" w:rsidRDefault="00695759" w:rsidP="00695759">
      <w:pPr>
        <w:jc w:val="center"/>
        <w:rPr>
          <w:rFonts w:cs="Calibri"/>
          <w:b/>
          <w:sz w:val="26"/>
          <w:szCs w:val="26"/>
        </w:rPr>
      </w:pPr>
      <w:r w:rsidRPr="00A95C22">
        <w:rPr>
          <w:rFonts w:cs="Calibri"/>
          <w:b/>
          <w:sz w:val="26"/>
          <w:szCs w:val="26"/>
        </w:rPr>
        <w:t>Eszközök beszerzése a Pécsi Tudományegyetem Általános Orvostudományi Kar részére a Modern Városok Program keretein belül 5.</w:t>
      </w:r>
    </w:p>
    <w:p w:rsidR="00695759" w:rsidRPr="00A95C22" w:rsidRDefault="00695759" w:rsidP="00695759">
      <w:pPr>
        <w:rPr>
          <w:rFonts w:cs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695759" w:rsidRPr="00A95C22" w:rsidTr="00DE0DE3">
        <w:tc>
          <w:tcPr>
            <w:tcW w:w="1951" w:type="dxa"/>
            <w:shd w:val="clear" w:color="auto" w:fill="auto"/>
          </w:tcPr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  <w:r w:rsidRPr="00A95C22">
              <w:rPr>
                <w:rFonts w:cs="Calibri"/>
                <w:b/>
              </w:rPr>
              <w:t>16. ajánlati rész</w:t>
            </w:r>
          </w:p>
        </w:tc>
        <w:tc>
          <w:tcPr>
            <w:tcW w:w="7111" w:type="dxa"/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 xml:space="preserve">Nagy </w:t>
            </w:r>
            <w:proofErr w:type="gramStart"/>
            <w:r w:rsidRPr="00A95C22">
              <w:rPr>
                <w:rFonts w:cs="Calibri"/>
                <w:b/>
                <w:bCs/>
              </w:rPr>
              <w:t xml:space="preserve">frekvenciás </w:t>
            </w:r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proofErr w:type="gramEnd"/>
            <w:r w:rsidRPr="00A95C22">
              <w:rPr>
                <w:rFonts w:cs="Calibri"/>
              </w:rPr>
              <w:t>/</w:t>
            </w: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/Pulzus Doppleres </w:t>
            </w:r>
            <w:r w:rsidRPr="00A95C22">
              <w:rPr>
                <w:rFonts w:cs="Calibri"/>
                <w:b/>
              </w:rPr>
              <w:t>ultrahangkészülék Pediátriai és gyermek traumatológiai vizsgálatokhoz</w:t>
            </w:r>
          </w:p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</w:p>
        </w:tc>
      </w:tr>
    </w:tbl>
    <w:p w:rsidR="00695759" w:rsidRPr="00A95C22" w:rsidRDefault="00695759" w:rsidP="00695759">
      <w:pPr>
        <w:suppressAutoHyphens/>
        <w:jc w:val="both"/>
        <w:rPr>
          <w:rFonts w:cs="Calibri"/>
          <w:b/>
        </w:rPr>
      </w:pP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proofErr w:type="spellStart"/>
      <w:r w:rsidRPr="00A95C22">
        <w:rPr>
          <w:rFonts w:cs="Calibri"/>
          <w:lang w:eastAsia="ar-SA"/>
        </w:rPr>
        <w:t>Össz</w:t>
      </w:r>
      <w:proofErr w:type="spellEnd"/>
      <w:r w:rsidRPr="00A95C22">
        <w:rPr>
          <w:rFonts w:cs="Calibri"/>
          <w:lang w:eastAsia="ar-SA"/>
        </w:rPr>
        <w:t>. darabszám: 1 darab</w:t>
      </w: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r w:rsidRPr="00A95C22">
        <w:rPr>
          <w:rFonts w:cs="Calibri"/>
          <w:lang w:eastAsia="ar-SA"/>
        </w:rPr>
        <w:t>Szállítási helyszín: Pécsi Tudományegyetem Klinikai Központ, Gyermekgyógyászati Klinika</w:t>
      </w:r>
    </w:p>
    <w:p w:rsidR="00695759" w:rsidRPr="00A95C22" w:rsidRDefault="00695759" w:rsidP="00695759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00"/>
      </w:tblGrid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Megajánlott termék típusa: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Gyártó: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</w:tbl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</w:p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Szállítási határidő szerződéskötéstől számítva naptári napban:</w:t>
      </w:r>
      <w:r w:rsidRPr="00A95C22">
        <w:rPr>
          <w:rFonts w:cs="Calibri"/>
          <w:b/>
        </w:rPr>
        <w:t xml:space="preserve"> </w:t>
      </w:r>
      <w:r w:rsidRPr="00A95C22">
        <w:rPr>
          <w:rFonts w:cs="Calibri"/>
        </w:rPr>
        <w:t>60 nap</w:t>
      </w:r>
    </w:p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pStyle w:val="Nincstrkz"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Technológiai leírás:</w:t>
      </w:r>
    </w:p>
    <w:p w:rsidR="00695759" w:rsidRPr="00A95C22" w:rsidRDefault="00695759" w:rsidP="00695759">
      <w:pPr>
        <w:rPr>
          <w:rFonts w:cs="Calibri"/>
          <w:b/>
          <w:bCs/>
        </w:rPr>
      </w:pPr>
    </w:p>
    <w:p w:rsidR="00695759" w:rsidRPr="00A95C22" w:rsidRDefault="00695759" w:rsidP="00695759">
      <w:pPr>
        <w:rPr>
          <w:rFonts w:cs="Calibri"/>
        </w:rPr>
      </w:pPr>
      <w:r w:rsidRPr="00A95C22">
        <w:rPr>
          <w:rFonts w:cs="Calibri"/>
          <w:b/>
          <w:bCs/>
        </w:rPr>
        <w:t xml:space="preserve">Nagy </w:t>
      </w:r>
      <w:proofErr w:type="gramStart"/>
      <w:r w:rsidRPr="00A95C22">
        <w:rPr>
          <w:rFonts w:cs="Calibri"/>
          <w:b/>
          <w:bCs/>
        </w:rPr>
        <w:t xml:space="preserve">frekvenciás </w:t>
      </w:r>
      <w:r w:rsidRPr="00A95C22">
        <w:rPr>
          <w:rFonts w:cs="Calibri"/>
        </w:rPr>
        <w:t xml:space="preserve"> </w:t>
      </w:r>
      <w:proofErr w:type="spellStart"/>
      <w:r w:rsidRPr="00A95C22">
        <w:rPr>
          <w:rFonts w:cs="Calibri"/>
        </w:rPr>
        <w:t>Color</w:t>
      </w:r>
      <w:proofErr w:type="spellEnd"/>
      <w:proofErr w:type="gramEnd"/>
      <w:r w:rsidRPr="00A95C22">
        <w:rPr>
          <w:rFonts w:cs="Calibri"/>
        </w:rPr>
        <w:t>/</w:t>
      </w:r>
      <w:proofErr w:type="spellStart"/>
      <w:r w:rsidRPr="00A95C22">
        <w:rPr>
          <w:rFonts w:cs="Calibri"/>
        </w:rPr>
        <w:t>Power</w:t>
      </w:r>
      <w:proofErr w:type="spellEnd"/>
      <w:r w:rsidRPr="00A95C22">
        <w:rPr>
          <w:rFonts w:cs="Calibri"/>
        </w:rPr>
        <w:t xml:space="preserve">/Pulzus Doppleres </w:t>
      </w:r>
      <w:r w:rsidRPr="00A95C22">
        <w:rPr>
          <w:rFonts w:cs="Calibri"/>
          <w:b/>
        </w:rPr>
        <w:t xml:space="preserve">ultrahangkészülék Pediátriai és gyermek traumatológiai vizsgálatokhoz </w:t>
      </w:r>
      <w:r w:rsidRPr="00A95C22">
        <w:rPr>
          <w:rFonts w:cs="Calibri"/>
        </w:rPr>
        <w:t>további képalkotási fejlesztési lehetőséggel és nagy teljesítménnyel</w:t>
      </w:r>
    </w:p>
    <w:p w:rsidR="00695759" w:rsidRPr="00A95C22" w:rsidRDefault="00695759" w:rsidP="00695759">
      <w:pPr>
        <w:jc w:val="both"/>
        <w:rPr>
          <w:rFonts w:cs="Calibri"/>
          <w:b/>
          <w:u w:val="single"/>
        </w:rPr>
      </w:pPr>
    </w:p>
    <w:p w:rsidR="00695759" w:rsidRPr="00A95C22" w:rsidRDefault="00695759" w:rsidP="00695759">
      <w:pPr>
        <w:pStyle w:val="Nincstrkz"/>
        <w:jc w:val="both"/>
        <w:rPr>
          <w:rFonts w:cs="Calibri"/>
          <w:b/>
          <w:sz w:val="24"/>
          <w:szCs w:val="24"/>
        </w:rPr>
      </w:pPr>
      <w:r w:rsidRPr="00A95C22">
        <w:rPr>
          <w:rFonts w:cs="Calibri"/>
          <w:b/>
          <w:sz w:val="24"/>
          <w:szCs w:val="24"/>
        </w:rPr>
        <w:t>Amely paraméter bírálati szempontként került megjelölésre, annál az ajánlat szerinti érték a megadott pontszámítás szerint értékelésre kerül.</w:t>
      </w:r>
    </w:p>
    <w:p w:rsidR="00695759" w:rsidRPr="00A95C22" w:rsidRDefault="00695759" w:rsidP="00695759">
      <w:pPr>
        <w:pStyle w:val="Nincstrkz"/>
        <w:rPr>
          <w:rFonts w:cs="Calibri"/>
          <w:b/>
          <w:sz w:val="24"/>
          <w:szCs w:val="24"/>
        </w:rPr>
      </w:pPr>
    </w:p>
    <w:p w:rsidR="00695759" w:rsidRPr="00A95C22" w:rsidRDefault="00695759" w:rsidP="00695759">
      <w:pPr>
        <w:rPr>
          <w:rFonts w:cs="Calibri"/>
          <w:strike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1418"/>
        <w:gridCol w:w="4536"/>
      </w:tblGrid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Elvárt műszaki paraméterek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Minimális elvárás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ind w:right="21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MEGAJÁNLOTT  paraméter</w:t>
            </w:r>
            <w:proofErr w:type="gramEnd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spacing w:before="120" w:after="120"/>
              <w:jc w:val="center"/>
              <w:rPr>
                <w:rFonts w:cs="Calibri"/>
                <w:b/>
                <w:bCs/>
                <w:iCs/>
              </w:rPr>
            </w:pPr>
            <w:r w:rsidRPr="00A95C22">
              <w:rPr>
                <w:rFonts w:cs="Calibri"/>
                <w:b/>
                <w:bCs/>
                <w:iCs/>
              </w:rPr>
              <w:t>Általános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 21” dönthető, forgatható, magasság és mélységi irányokban a géptesttel együtt állítható, nagyfelbontású, széles látószögű LED 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Állítható magasságú kezelői felület.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10” LED érintőpanel menüvezérlés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 xml:space="preserve">Szövegbeviteli lehetőség az érintőpanelen megjelenített virtuális QWERTY billentyűzettel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proofErr w:type="spellStart"/>
            <w:r w:rsidRPr="00765747">
              <w:rPr>
                <w:rFonts w:cs="Calibri"/>
              </w:rPr>
              <w:t>Testreszabható</w:t>
            </w:r>
            <w:proofErr w:type="spellEnd"/>
            <w:r w:rsidRPr="00765747">
              <w:rPr>
                <w:rFonts w:cs="Calibri"/>
              </w:rPr>
              <w:t xml:space="preserve"> érintőképernyős menü funkciók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Háttérvilágított billentyűzet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>Kezelőpult alá csúsztatható teljes karakterkészletű billentyűzet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5572BC">
              <w:rPr>
                <w:rFonts w:cs="Calibri"/>
              </w:rPr>
              <w:t>Programozható felhasználói gombok a kezelőkonzolon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Digitális </w:t>
            </w:r>
            <w:proofErr w:type="spellStart"/>
            <w:r w:rsidRPr="00A95C22">
              <w:rPr>
                <w:rFonts w:cs="Calibri"/>
              </w:rPr>
              <w:t>beamformer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Minden megajánlott fejjel alkalmazható szöveti harmonikus képalkotás </w:t>
            </w:r>
            <w:proofErr w:type="gramStart"/>
            <w:r w:rsidRPr="00A95C22">
              <w:rPr>
                <w:rFonts w:cs="Calibri"/>
              </w:rPr>
              <w:t>( THI</w:t>
            </w:r>
            <w:proofErr w:type="gramEnd"/>
            <w:r w:rsidRPr="00A95C22">
              <w:rPr>
                <w:rFonts w:cs="Calibri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Képalkotási frekvencia tartomány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2.0MHz –16.0 MHz között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B92CFC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Frame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rate</w:t>
            </w:r>
            <w:proofErr w:type="spellEnd"/>
            <w:r w:rsidRPr="00A95C22">
              <w:rPr>
                <w:rFonts w:cs="Calibri"/>
              </w:rPr>
              <w:t xml:space="preserve"> numerikus megjelenítése a képernyőn a vizsgálat folyamatában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36 cm maximális vizsgálati mélység,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Max. 2 cm-ként változtatható mélységi állítás a vizsgálati tartományban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alkalmazási területeknek megfelelő mérési és számítási programok </w:t>
            </w:r>
            <w:proofErr w:type="spellStart"/>
            <w:r w:rsidRPr="00A95C22">
              <w:rPr>
                <w:rFonts w:cs="Calibri"/>
              </w:rPr>
              <w:t>testreszabási</w:t>
            </w:r>
            <w:proofErr w:type="spellEnd"/>
            <w:r w:rsidRPr="00A95C22">
              <w:rPr>
                <w:rFonts w:cs="Calibri"/>
              </w:rPr>
              <w:t xml:space="preserve"> lehetőséggel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 aktív képalkotó vizsgálófej csatlakozó a készülék elülső, azaz frontrészén és az ajánlattétel időpontjában a 4. képalkotó fejcsatlakozó kiépítésének lehetősége (nem adapteres)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PW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rPr>
                <w:rFonts w:cs="Calibri"/>
              </w:rPr>
            </w:pPr>
            <w:r w:rsidRPr="00816E59">
              <w:rPr>
                <w:rFonts w:cs="Calibri"/>
              </w:rPr>
              <w:t xml:space="preserve">Az ajánlattétel pillanatában rendelhető hardverileg támogatott </w:t>
            </w:r>
            <w:proofErr w:type="spellStart"/>
            <w:r w:rsidRPr="00816E59">
              <w:rPr>
                <w:rFonts w:cs="Calibri"/>
              </w:rPr>
              <w:t>elasztográfia</w:t>
            </w:r>
            <w:proofErr w:type="spellEnd"/>
            <w:r w:rsidRPr="00816E59">
              <w:rPr>
                <w:rFonts w:cs="Calibri"/>
              </w:rPr>
              <w:t xml:space="preserve">- 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Szöveti harmonikus üzemmód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(</w:t>
            </w:r>
            <w:proofErr w:type="spellStart"/>
            <w:r w:rsidRPr="00A95C22">
              <w:rPr>
                <w:rFonts w:cs="Calibri"/>
              </w:rPr>
              <w:t>Tissue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Harmonic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Imaging</w:t>
            </w:r>
            <w:proofErr w:type="spellEnd"/>
            <w:r w:rsidRPr="00A95C22">
              <w:rPr>
                <w:rFonts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Cs/>
              </w:rPr>
              <w:lastRenderedPageBreak/>
              <w:t xml:space="preserve">Real </w:t>
            </w:r>
            <w:proofErr w:type="spellStart"/>
            <w:r w:rsidRPr="00A95C22">
              <w:rPr>
                <w:rFonts w:cs="Calibri"/>
                <w:bCs/>
              </w:rPr>
              <w:t>time</w:t>
            </w:r>
            <w:proofErr w:type="spellEnd"/>
            <w:r w:rsidRPr="00A95C22">
              <w:rPr>
                <w:rFonts w:cs="Calibri"/>
                <w:bCs/>
              </w:rPr>
              <w:t xml:space="preserve"> többirányú képösszegző </w:t>
            </w:r>
            <w:proofErr w:type="spellStart"/>
            <w:r w:rsidRPr="00A95C22">
              <w:rPr>
                <w:rFonts w:cs="Calibri"/>
                <w:bCs/>
              </w:rPr>
              <w:t>compound</w:t>
            </w:r>
            <w:proofErr w:type="spellEnd"/>
            <w:r w:rsidRPr="00A95C22">
              <w:rPr>
                <w:rFonts w:cs="Calibri"/>
                <w:bCs/>
              </w:rPr>
              <w:t xml:space="preserve"> képalkotó technika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</w:rPr>
            </w:pPr>
            <w:r w:rsidRPr="00A95C22">
              <w:rPr>
                <w:rFonts w:cs="Calibri"/>
                <w:bCs/>
              </w:rPr>
              <w:t>Dinamikai tartomány min. 210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Szemcsésségcsökkentő képalkotás, műtermék elimináló technikák alapkiépítésben: </w:t>
            </w:r>
            <w:proofErr w:type="spellStart"/>
            <w:r w:rsidRPr="00A95C22">
              <w:rPr>
                <w:rFonts w:cs="Calibri"/>
              </w:rPr>
              <w:t>Sono</w:t>
            </w:r>
            <w:proofErr w:type="spellEnd"/>
            <w:r w:rsidRPr="00A95C22">
              <w:rPr>
                <w:rFonts w:cs="Calibri"/>
              </w:rPr>
              <w:t xml:space="preserve"> MR,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Dinamikus MR vagy ennek megfelelő eljárás. Kérjük, megadni.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tabs>
                <w:tab w:val="left" w:pos="245"/>
              </w:tabs>
              <w:rPr>
                <w:rFonts w:cs="Calibri"/>
              </w:rPr>
            </w:pPr>
            <w:r w:rsidRPr="00A95C22">
              <w:rPr>
                <w:rFonts w:cs="Calibri"/>
              </w:rPr>
              <w:t xml:space="preserve">Automatikus B /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és Pulzus Doppler képoptimalizálás egy gomb megnyomásával élő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Triplex</w:t>
            </w:r>
            <w:proofErr w:type="spellEnd"/>
            <w:r w:rsidRPr="00A95C22">
              <w:rPr>
                <w:rFonts w:cs="Calibri"/>
              </w:rPr>
              <w:t xml:space="preserve">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élő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befagyasztott és visszajátszott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ind w:right="772"/>
              <w:rPr>
                <w:rFonts w:cs="Calibri"/>
              </w:rPr>
            </w:pPr>
            <w:r w:rsidRPr="00A95C22">
              <w:rPr>
                <w:rFonts w:cs="Calibri"/>
              </w:rPr>
              <w:t>Választható horizontális / vertikális osztás lehetősége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Min. 7 sávos TGC beállítási lehetőség az érintőpanelen a monitorkép érintőpaneles megjelenítésével és </w:t>
            </w:r>
            <w:r w:rsidRPr="002013D7">
              <w:rPr>
                <w:rFonts w:cs="Calibri"/>
              </w:rPr>
              <w:lastRenderedPageBreak/>
              <w:t>tárolható sávos TGC beállításokkal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 xml:space="preserve">A készülék használaton kívüli vizsgálófej </w:t>
            </w:r>
            <w:proofErr w:type="spellStart"/>
            <w:r w:rsidRPr="002013D7">
              <w:rPr>
                <w:rFonts w:cs="Calibri"/>
              </w:rPr>
              <w:t>csatlakozóihoz</w:t>
            </w:r>
            <w:proofErr w:type="spellEnd"/>
            <w:r w:rsidRPr="002013D7">
              <w:rPr>
                <w:rFonts w:cs="Calibri"/>
              </w:rPr>
              <w:t xml:space="preserve"> porzáró kapu, vagy gyári </w:t>
            </w:r>
            <w:r>
              <w:rPr>
                <w:rFonts w:cs="Calibri"/>
              </w:rPr>
              <w:t>megoldású porvédő kupak található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Alkalmazási területek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- Általános </w:t>
            </w:r>
            <w:proofErr w:type="spellStart"/>
            <w:r w:rsidRPr="00A95C22">
              <w:rPr>
                <w:rFonts w:cs="Calibri"/>
              </w:rPr>
              <w:t>Pediatriai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, Terhességi, Kora terhességi, </w:t>
            </w:r>
            <w:proofErr w:type="spellStart"/>
            <w:r w:rsidRPr="00A95C22">
              <w:rPr>
                <w:rFonts w:cs="Calibri"/>
              </w:rPr>
              <w:t>Neonatal</w:t>
            </w:r>
            <w:proofErr w:type="spellEnd"/>
            <w:r w:rsidRPr="00A95C22">
              <w:rPr>
                <w:rFonts w:cs="Calibri"/>
              </w:rPr>
              <w:t xml:space="preserve">, Általános és perifériás </w:t>
            </w:r>
            <w:proofErr w:type="spellStart"/>
            <w:r w:rsidRPr="00A95C22">
              <w:rPr>
                <w:rFonts w:cs="Calibri"/>
              </w:rPr>
              <w:t>vaszkuláris</w:t>
            </w:r>
            <w:proofErr w:type="spellEnd"/>
            <w:r w:rsidRPr="00A95C22">
              <w:rPr>
                <w:rFonts w:cs="Calibri"/>
              </w:rPr>
              <w:t xml:space="preserve">, Magzati / újszülött / gyermek és felnőtt kardiológia, Fertilitás, </w:t>
            </w:r>
            <w:proofErr w:type="spellStart"/>
            <w:r w:rsidRPr="00A95C22">
              <w:rPr>
                <w:rFonts w:cs="Calibri"/>
              </w:rPr>
              <w:t>Small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parts</w:t>
            </w:r>
            <w:proofErr w:type="spellEnd"/>
            <w:r w:rsidRPr="00A95C22">
              <w:rPr>
                <w:rFonts w:cs="Calibri"/>
              </w:rPr>
              <w:t xml:space="preserve"> (emlő, </w:t>
            </w:r>
            <w:proofErr w:type="spellStart"/>
            <w:r w:rsidRPr="00A95C22">
              <w:rPr>
                <w:rFonts w:cs="Calibri"/>
              </w:rPr>
              <w:t>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parathyroid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penis</w:t>
            </w:r>
            <w:proofErr w:type="spellEnd"/>
            <w:r w:rsidRPr="00A95C22">
              <w:rPr>
                <w:rFonts w:cs="Calibri"/>
              </w:rPr>
              <w:t xml:space="preserve">, herék),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 sebészeti, </w:t>
            </w:r>
            <w:proofErr w:type="spellStart"/>
            <w:r w:rsidRPr="00A95C22">
              <w:rPr>
                <w:rFonts w:cs="Calibri"/>
              </w:rPr>
              <w:t>Musculoskeletal</w:t>
            </w:r>
            <w:proofErr w:type="spellEnd"/>
            <w:r w:rsidRPr="00A95C22">
              <w:rPr>
                <w:rFonts w:cs="Calibri"/>
              </w:rPr>
              <w:t xml:space="preserve">, Pediátriai, Prosztata, </w:t>
            </w:r>
            <w:proofErr w:type="spellStart"/>
            <w:r w:rsidRPr="00A95C22">
              <w:rPr>
                <w:rFonts w:cs="Calibri"/>
              </w:rPr>
              <w:t>Trans-rektális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Trans-vaginális</w:t>
            </w:r>
            <w:proofErr w:type="spellEnd"/>
            <w:r w:rsidRPr="00A95C22">
              <w:rPr>
                <w:rFonts w:cs="Calibri"/>
              </w:rPr>
              <w:t>, általános célú radiológia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bookmarkStart w:id="2" w:name="OLE_LINK1"/>
            <w:bookmarkStart w:id="3" w:name="OLE_LINK2"/>
            <w:r w:rsidRPr="00A95C22">
              <w:rPr>
                <w:rFonts w:cs="Calibri"/>
                <w:b/>
              </w:rPr>
              <w:t>2D üzemmód</w:t>
            </w:r>
            <w:bookmarkEnd w:id="2"/>
            <w:bookmarkEnd w:id="3"/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Színezhető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Színek száma színezhető 2D képen min. 11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Két- (=</w:t>
            </w:r>
            <w:proofErr w:type="spellStart"/>
            <w:r w:rsidRPr="00A95C22">
              <w:rPr>
                <w:rFonts w:cs="Calibri"/>
              </w:rPr>
              <w:t>dual</w:t>
            </w:r>
            <w:proofErr w:type="spellEnd"/>
            <w:r w:rsidRPr="00A95C22">
              <w:rPr>
                <w:rFonts w:cs="Calibri"/>
              </w:rPr>
              <w:t>) és négy (=</w:t>
            </w:r>
            <w:proofErr w:type="spellStart"/>
            <w:r w:rsidRPr="00A95C22">
              <w:rPr>
                <w:rFonts w:cs="Calibri"/>
              </w:rPr>
              <w:t>quad</w:t>
            </w:r>
            <w:proofErr w:type="spellEnd"/>
            <w:r w:rsidRPr="00A95C22">
              <w:rPr>
                <w:rFonts w:cs="Calibri"/>
              </w:rPr>
              <w:t xml:space="preserve">) </w:t>
            </w:r>
            <w:proofErr w:type="spellStart"/>
            <w:r w:rsidRPr="00A95C22">
              <w:rPr>
                <w:rFonts w:cs="Calibri"/>
              </w:rPr>
              <w:t>osztatú</w:t>
            </w:r>
            <w:proofErr w:type="spellEnd"/>
            <w:r w:rsidRPr="00A95C22">
              <w:rPr>
                <w:rFonts w:cs="Calibri"/>
              </w:rPr>
              <w:t xml:space="preserve"> képmegjelenítés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Trapezoid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 xml:space="preserve">Frekvencia </w:t>
            </w:r>
            <w:proofErr w:type="spellStart"/>
            <w:r w:rsidRPr="00A95C22">
              <w:rPr>
                <w:rFonts w:cs="Calibri"/>
              </w:rPr>
              <w:t>compound</w:t>
            </w:r>
            <w:proofErr w:type="spellEnd"/>
            <w:r w:rsidRPr="00A95C22">
              <w:rPr>
                <w:rFonts w:cs="Calibri"/>
              </w:rPr>
              <w:t xml:space="preserve">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ajánlatadás időpontjában rendelhető alkalmazás legyen: a jobb </w:t>
            </w:r>
            <w:proofErr w:type="spellStart"/>
            <w:r w:rsidRPr="00A95C22">
              <w:rPr>
                <w:rFonts w:cs="Calibri"/>
              </w:rPr>
              <w:t>reflektivitást</w:t>
            </w:r>
            <w:proofErr w:type="spellEnd"/>
            <w:r w:rsidRPr="00A95C22">
              <w:rPr>
                <w:rFonts w:cs="Calibri"/>
              </w:rPr>
              <w:t xml:space="preserve"> létrehozó tűlokalizációs szoftver. Nem része az ajánlati árnak. – szoftver nevét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PW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Automatikus Doppler spektrum kontúr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Színezhető Doppler spektrum, színek száma min.11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  <w:bCs/>
              </w:rPr>
              <w:t>Auto</w:t>
            </w:r>
            <w:proofErr w:type="spellEnd"/>
            <w:r w:rsidRPr="00A95C22">
              <w:rPr>
                <w:rFonts w:cs="Calibri"/>
                <w:bCs/>
              </w:rPr>
              <w:t xml:space="preserve"> kalkuláció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Doppler frekvenciák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Szimultán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proofErr w:type="spellStart"/>
            <w:r w:rsidRPr="00A95C22">
              <w:rPr>
                <w:rFonts w:cs="Calibri"/>
                <w:b/>
              </w:rPr>
              <w:t>Color</w:t>
            </w:r>
            <w:proofErr w:type="spellEnd"/>
            <w:r w:rsidRPr="00A95C22">
              <w:rPr>
                <w:rFonts w:cs="Calibri"/>
                <w:b/>
              </w:rPr>
              <w:t xml:space="preserve">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Min. 11 db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>-map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</w:t>
            </w:r>
            <w:proofErr w:type="spellStart"/>
            <w:r w:rsidRPr="00A95C22">
              <w:rPr>
                <w:rFonts w:cs="Calibri"/>
              </w:rPr>
              <w:t>Velocity</w:t>
            </w:r>
            <w:proofErr w:type="spellEnd"/>
            <w:r w:rsidRPr="00A95C22">
              <w:rPr>
                <w:rFonts w:cs="Calibri"/>
              </w:rPr>
              <w:t xml:space="preserve">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mód választhatóan iránykódolt funkcióval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Nagy érzékenységű színes áramlásvizsgálat (HD Flow, S </w:t>
            </w:r>
            <w:proofErr w:type="gramStart"/>
            <w:r w:rsidRPr="00A95C22">
              <w:rPr>
                <w:rFonts w:cs="Calibri"/>
              </w:rPr>
              <w:t>Flow</w:t>
            </w:r>
            <w:proofErr w:type="gramEnd"/>
            <w:r w:rsidRPr="00A95C22">
              <w:rPr>
                <w:rFonts w:cs="Calibri"/>
              </w:rPr>
              <w:t xml:space="preserve"> ill. ezeknek megfelelő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technológia.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Vizsgálófejek: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Vizsgálófejtartók száma a kezelőpulton min. 5 db.</w:t>
            </w:r>
          </w:p>
          <w:p w:rsidR="00695759" w:rsidRPr="00A95C22" w:rsidRDefault="00695759" w:rsidP="00DE0DE3">
            <w:pPr>
              <w:rPr>
                <w:rFonts w:cs="Calibri"/>
                <w:b/>
                <w:bCs/>
              </w:rPr>
            </w:pPr>
            <w:r w:rsidRPr="00A95C22">
              <w:rPr>
                <w:rFonts w:cs="Calibri"/>
              </w:rPr>
              <w:t xml:space="preserve">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  <w:b/>
              </w:rPr>
              <w:t>1,</w:t>
            </w:r>
            <w:r w:rsidRPr="002013D7">
              <w:rPr>
                <w:rFonts w:cs="Calibri"/>
              </w:rPr>
              <w:t xml:space="preserve"> Multifrekvenciás, vagy szélessávú </w:t>
            </w:r>
            <w:r w:rsidRPr="002013D7">
              <w:rPr>
                <w:rFonts w:cs="Calibri"/>
                <w:b/>
              </w:rPr>
              <w:t>lineáris vizsgálófej</w:t>
            </w:r>
            <w:r w:rsidRPr="002013D7">
              <w:rPr>
                <w:rFonts w:cs="Calibri"/>
              </w:rPr>
              <w:t xml:space="preserve">, </w:t>
            </w:r>
          </w:p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 xml:space="preserve">3.0-16.0 MHz sávszélesség </w:t>
            </w:r>
            <w:r w:rsidRPr="002013D7">
              <w:rPr>
                <w:rFonts w:cs="Calibri"/>
              </w:rPr>
              <w:br/>
              <w:t>(+/- 1 MHz – a sávszélesség értékének megtartásával) között</w:t>
            </w:r>
          </w:p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 xml:space="preserve">(THI, PW, </w:t>
            </w:r>
            <w:proofErr w:type="spellStart"/>
            <w:r w:rsidRPr="002013D7">
              <w:rPr>
                <w:rFonts w:cs="Calibri"/>
              </w:rPr>
              <w:t>Color</w:t>
            </w:r>
            <w:proofErr w:type="spellEnd"/>
            <w:r w:rsidRPr="002013D7">
              <w:rPr>
                <w:rFonts w:cs="Calibri"/>
              </w:rPr>
              <w:t xml:space="preserve"> Doppler)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Vizsgálófejen minimum 3 beállítható (fundamentális) alapfrekvencia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frekvenciák 2D és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üzemmódban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2,</w:t>
            </w:r>
            <w:r w:rsidRPr="00A95C22">
              <w:rPr>
                <w:rFonts w:cs="Calibri"/>
              </w:rPr>
              <w:t xml:space="preserve"> 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felnőtt hasi vizsgálatra 2,0– 8,0 </w:t>
            </w:r>
            <w:proofErr w:type="gramStart"/>
            <w:r w:rsidRPr="00A95C22">
              <w:rPr>
                <w:rFonts w:cs="Calibri"/>
              </w:rPr>
              <w:t>MHz  sávszélesség</w:t>
            </w:r>
            <w:proofErr w:type="gramEnd"/>
            <w:r w:rsidRPr="00A95C22">
              <w:rPr>
                <w:rFonts w:cs="Calibri"/>
              </w:rPr>
              <w:t xml:space="preserve"> (+/- 1 MHz– a sávszélesség értékének megtartásával) között THI, PW,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 látómező mérete: min 56°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Dokumentáció, archiválás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Min.0,5TB beépített merevlemez méret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352A83">
              <w:rPr>
                <w:rFonts w:cs="Calibri"/>
              </w:rPr>
              <w:t xml:space="preserve">Az ajánlattétel időpontjában rendelhető </w:t>
            </w:r>
            <w:proofErr w:type="spellStart"/>
            <w:r w:rsidRPr="00352A83">
              <w:rPr>
                <w:rFonts w:cs="Calibri"/>
              </w:rPr>
              <w:t>application</w:t>
            </w:r>
            <w:proofErr w:type="spellEnd"/>
            <w:r w:rsidRPr="00352A83">
              <w:rPr>
                <w:rFonts w:cs="Calibri"/>
              </w:rPr>
              <w:t xml:space="preserve"> </w:t>
            </w:r>
            <w:proofErr w:type="spellStart"/>
            <w:r w:rsidRPr="00352A83">
              <w:rPr>
                <w:rFonts w:cs="Calibri"/>
              </w:rPr>
              <w:t>assistant</w:t>
            </w:r>
            <w:proofErr w:type="spellEnd"/>
            <w:r w:rsidRPr="00352A83">
              <w:rPr>
                <w:rFonts w:cs="Calibri"/>
              </w:rPr>
              <w:t xml:space="preserve"> v. ezzel egyenértékű funkció (=rendszeresen használt funkciók műveleti sorba rendezésének lehetősége) – </w:t>
            </w:r>
            <w:r w:rsidRPr="00816E59">
              <w:rPr>
                <w:rFonts w:cs="Calibri"/>
              </w:rPr>
              <w:t xml:space="preserve">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Képek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 HDD-re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Kalibrálás nélküli mérés a HDD-ről visszajátszott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készülékbe integrált és vezérelt DVD-re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DICOM 3.0 formátumban a készüléken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PC-re (TIFF és/vagy JPEG és AVI), vagy DICOM formátumban.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DICOM 3.0 formátumban PACS rendszerre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Fekete-fehér videoprinter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3 db. USB 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Fizikai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Egyenként fékezhető kerekeken gördülő mobil kivitel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Kimenetek, csatlakozási lehetőségek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HDMI kimenet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Ethernet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USB 2.0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</w:tbl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0"/>
        <w:gridCol w:w="3083"/>
      </w:tblGrid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1D58AB" w:rsidRDefault="00394DBD" w:rsidP="00394DB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3083" w:type="dxa"/>
            <w:vAlign w:val="center"/>
          </w:tcPr>
          <w:p w:rsidR="00394DBD" w:rsidRPr="001D58AB" w:rsidRDefault="00394DBD" w:rsidP="00394D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B92CFC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lastRenderedPageBreak/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3083" w:type="dxa"/>
          </w:tcPr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>Min. 7 sávos TGC beállítási lehetőség az érintőpanelen a monitorkép érintőpaneles megjelenítésével és tárolható sávos TGC beállításokkal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highlight w:val="green"/>
              </w:rPr>
            </w:pPr>
            <w:r w:rsidRPr="00A95C22">
              <w:rPr>
                <w:rFonts w:cs="Calibri"/>
              </w:rPr>
              <w:t>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</w:t>
            </w: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</w:tbl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rPr>
          <w:rFonts w:cs="Calibri"/>
        </w:rPr>
      </w:pPr>
    </w:p>
    <w:p w:rsidR="00D80EF7" w:rsidRPr="001D58AB" w:rsidRDefault="00D80EF7">
      <w:pPr>
        <w:rPr>
          <w:rFonts w:asciiTheme="minorHAnsi" w:hAnsiTheme="minorHAnsi" w:cstheme="minorHAnsi"/>
          <w:sz w:val="24"/>
          <w:szCs w:val="24"/>
        </w:rPr>
      </w:pPr>
    </w:p>
    <w:sectPr w:rsidR="00D80EF7" w:rsidRPr="001D58AB" w:rsidSect="00D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B8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6143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9"/>
    <w:rsid w:val="000722B7"/>
    <w:rsid w:val="001466FA"/>
    <w:rsid w:val="001D58AB"/>
    <w:rsid w:val="00394DBD"/>
    <w:rsid w:val="0055116D"/>
    <w:rsid w:val="00695759"/>
    <w:rsid w:val="008B6EB1"/>
    <w:rsid w:val="00B30FE9"/>
    <w:rsid w:val="00B70A12"/>
    <w:rsid w:val="00C81D6F"/>
    <w:rsid w:val="00D80EF7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7E9"/>
  <w15:chartTrackingRefBased/>
  <w15:docId w15:val="{2B725D9F-5780-450D-9C34-A5B2DBB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F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30FE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B30FE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Rcsostblzat">
    <w:name w:val="Table Grid"/>
    <w:basedOn w:val="Normltblzat"/>
    <w:rsid w:val="00B3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B30F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B30FE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B3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B6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69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te.hu/tk/teleph.php?id=115" TargetMode="External"/><Relationship Id="rId5" Type="http://schemas.openxmlformats.org/officeDocument/2006/relationships/hyperlink" Target="http://app.pte.hu/tk/teleph.php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5390</Words>
  <Characters>37196</Characters>
  <Application>Microsoft Office Word</Application>
  <DocSecurity>0</DocSecurity>
  <Lines>309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10</cp:revision>
  <dcterms:created xsi:type="dcterms:W3CDTF">2017-11-29T12:53:00Z</dcterms:created>
  <dcterms:modified xsi:type="dcterms:W3CDTF">2017-12-20T13:35:00Z</dcterms:modified>
</cp:coreProperties>
</file>